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2659B" w14:textId="77777777" w:rsidR="00F605EB" w:rsidRDefault="00F605EB" w:rsidP="00745247">
      <w:pPr>
        <w:spacing w:after="156" w:line="560" w:lineRule="exact"/>
        <w:textAlignment w:val="baseline"/>
        <w:rPr>
          <w:rStyle w:val="NormalCharacter"/>
          <w:rFonts w:ascii="方正小标宋简体" w:eastAsia="方正小标宋简体" w:hAnsi="宋体" w:hint="eastAsia"/>
          <w:bCs/>
          <w:sz w:val="44"/>
          <w:szCs w:val="44"/>
        </w:rPr>
      </w:pPr>
    </w:p>
    <w:p w14:paraId="0160D556" w14:textId="08A3C60A" w:rsidR="00F605EB" w:rsidRDefault="00745247">
      <w:pPr>
        <w:spacing w:after="156" w:line="560" w:lineRule="exact"/>
        <w:jc w:val="center"/>
        <w:textAlignment w:val="baseline"/>
        <w:rPr>
          <w:rStyle w:val="NormalCharacter"/>
          <w:rFonts w:ascii="方正小标宋简体" w:eastAsia="方正小标宋简体" w:hAnsi="宋体"/>
          <w:bCs/>
          <w:sz w:val="44"/>
          <w:szCs w:val="44"/>
        </w:rPr>
      </w:pPr>
      <w:bookmarkStart w:id="0" w:name="OLE_LINK1"/>
      <w:bookmarkStart w:id="1" w:name="OLE_LINK2"/>
      <w:r>
        <w:rPr>
          <w:rStyle w:val="NormalCharacter"/>
          <w:rFonts w:ascii="方正小标宋简体" w:eastAsia="方正小标宋简体" w:hAnsi="宋体" w:hint="eastAsia"/>
          <w:bCs/>
          <w:sz w:val="44"/>
          <w:szCs w:val="44"/>
        </w:rPr>
        <w:t>教育硕士</w:t>
      </w:r>
      <w:r w:rsidR="00E43777">
        <w:rPr>
          <w:rStyle w:val="NormalCharacter"/>
          <w:rFonts w:ascii="方正小标宋简体" w:eastAsia="方正小标宋简体" w:hAnsi="宋体" w:hint="eastAsia"/>
          <w:bCs/>
          <w:sz w:val="44"/>
          <w:szCs w:val="44"/>
        </w:rPr>
        <w:t>学位授权点建设年度报告</w:t>
      </w:r>
    </w:p>
    <w:bookmarkEnd w:id="0"/>
    <w:bookmarkEnd w:id="1"/>
    <w:p w14:paraId="7AE4F88A" w14:textId="77777777" w:rsidR="00F605EB" w:rsidRDefault="00E43777">
      <w:pPr>
        <w:spacing w:after="156" w:line="560" w:lineRule="exact"/>
        <w:jc w:val="center"/>
        <w:textAlignment w:val="baseline"/>
        <w:rPr>
          <w:rStyle w:val="NormalCharacter"/>
          <w:rFonts w:ascii="方正小标宋简体" w:eastAsia="方正小标宋简体" w:hAnsi="宋体"/>
          <w:bCs/>
          <w:sz w:val="44"/>
          <w:szCs w:val="44"/>
        </w:rPr>
      </w:pPr>
      <w:r>
        <w:rPr>
          <w:rStyle w:val="NormalCharacter"/>
          <w:rFonts w:ascii="方正小标宋简体" w:eastAsia="方正小标宋简体" w:hAnsi="宋体" w:hint="eastAsia"/>
          <w:bCs/>
          <w:sz w:val="44"/>
          <w:szCs w:val="44"/>
        </w:rPr>
        <w:t>（</w:t>
      </w:r>
      <w:r>
        <w:rPr>
          <w:rStyle w:val="NormalCharacter"/>
          <w:rFonts w:ascii="方正小标宋简体" w:eastAsia="方正小标宋简体" w:hAnsi="宋体"/>
          <w:bCs/>
          <w:sz w:val="44"/>
          <w:szCs w:val="44"/>
        </w:rPr>
        <w:t>2021</w:t>
      </w:r>
      <w:r>
        <w:rPr>
          <w:rStyle w:val="NormalCharacter"/>
          <w:rFonts w:ascii="方正小标宋简体" w:eastAsia="方正小标宋简体" w:hAnsi="宋体" w:hint="eastAsia"/>
          <w:bCs/>
          <w:sz w:val="44"/>
          <w:szCs w:val="44"/>
        </w:rPr>
        <w:t>年）</w:t>
      </w:r>
    </w:p>
    <w:p w14:paraId="06F86078" w14:textId="77777777" w:rsidR="00F605EB" w:rsidRDefault="00E43777">
      <w:pPr>
        <w:widowControl/>
        <w:spacing w:line="580" w:lineRule="exact"/>
        <w:ind w:firstLineChars="200" w:firstLine="602"/>
        <w:textAlignment w:val="baseline"/>
        <w:rPr>
          <w:rStyle w:val="NormalCharacter"/>
          <w:rFonts w:ascii="黑体" w:eastAsia="黑体" w:hAnsi="黑体" w:cs="方正仿宋简体"/>
          <w:b/>
          <w:sz w:val="30"/>
          <w:szCs w:val="30"/>
        </w:rPr>
      </w:pPr>
      <w:r>
        <w:rPr>
          <w:rStyle w:val="NormalCharacter"/>
          <w:rFonts w:ascii="黑体" w:eastAsia="黑体" w:hAnsi="黑体" w:cs="黑体" w:hint="eastAsia"/>
          <w:b/>
          <w:sz w:val="30"/>
          <w:szCs w:val="30"/>
        </w:rPr>
        <w:t>一、总体概况</w:t>
      </w:r>
    </w:p>
    <w:p w14:paraId="01999F68" w14:textId="77777777" w:rsidR="00F605EB" w:rsidRDefault="00E43777">
      <w:pPr>
        <w:pStyle w:val="ad"/>
        <w:widowControl/>
        <w:spacing w:beforeAutospacing="0" w:afterAutospacing="0" w:line="580" w:lineRule="exact"/>
        <w:ind w:firstLine="555"/>
        <w:rPr>
          <w:rStyle w:val="NormalCharacter"/>
          <w:rFonts w:ascii="仿宋_GB2312" w:eastAsia="仿宋_GB2312" w:hAnsi="黑体" w:cs="黑体"/>
          <w:b/>
          <w:sz w:val="30"/>
          <w:szCs w:val="30"/>
        </w:rPr>
      </w:pPr>
      <w:r>
        <w:rPr>
          <w:rStyle w:val="NormalCharacter"/>
          <w:rFonts w:ascii="仿宋_GB2312" w:eastAsia="仿宋_GB2312" w:hAnsi="黑体" w:cs="黑体" w:hint="eastAsia"/>
          <w:b/>
          <w:sz w:val="30"/>
          <w:szCs w:val="30"/>
        </w:rPr>
        <w:t>(一)学位授权点基本情况</w:t>
      </w:r>
    </w:p>
    <w:p w14:paraId="7D851B04" w14:textId="77777777" w:rsidR="00F605EB" w:rsidRDefault="00E43777">
      <w:pPr>
        <w:pStyle w:val="ad"/>
        <w:widowControl/>
        <w:spacing w:beforeAutospacing="0" w:afterAutospacing="0" w:line="580" w:lineRule="exact"/>
        <w:ind w:firstLine="555"/>
        <w:rPr>
          <w:rStyle w:val="NormalCharacter"/>
          <w:rFonts w:ascii="仿宋_GB2312" w:eastAsia="仿宋_GB2312" w:hAnsi="黑体" w:cs="黑体"/>
          <w:sz w:val="30"/>
          <w:szCs w:val="30"/>
        </w:rPr>
      </w:pPr>
      <w:r>
        <w:rPr>
          <w:rStyle w:val="NormalCharacter"/>
          <w:rFonts w:ascii="仿宋_GB2312" w:eastAsia="仿宋_GB2312" w:hAnsi="黑体" w:cs="黑体" w:hint="eastAsia"/>
          <w:sz w:val="30"/>
          <w:szCs w:val="30"/>
        </w:rPr>
        <w:t>本学科是江西科技师范大学</w:t>
      </w:r>
      <w:r>
        <w:rPr>
          <w:rStyle w:val="NormalCharacter"/>
          <w:rFonts w:ascii="仿宋_GB2312" w:eastAsia="仿宋_GB2312" w:hAnsi="黑体" w:cs="黑体"/>
          <w:sz w:val="30"/>
          <w:szCs w:val="30"/>
        </w:rPr>
        <w:t>致力于建设具有鲜明职教特色、 引领全国一流职教师资培养的高水平综合性师范大学</w:t>
      </w:r>
      <w:r>
        <w:rPr>
          <w:rStyle w:val="NormalCharacter"/>
          <w:rFonts w:ascii="仿宋_GB2312" w:eastAsia="仿宋_GB2312" w:hAnsi="黑体" w:cs="黑体" w:hint="eastAsia"/>
          <w:sz w:val="30"/>
          <w:szCs w:val="30"/>
        </w:rPr>
        <w:t>,发挥教师教育办学优势、彰显职教师资培养特色,倾全校之力建设的核心学科，有34年本科基础教育师资、中等职业教育师资培养的传统积淀和14年研究生教育的实践探索，是江西省“十二五”重点学科（2011年），江西省一流学科（2017年）；获批职业技术教育学二级学科硕士点（2006年）、教育学一级学科硕士点（2011年）、教育硕士专业学位点（2014年）、教育硕士（职业技术教育领域）（2016年）。</w:t>
      </w:r>
    </w:p>
    <w:p w14:paraId="766A582B" w14:textId="77777777" w:rsidR="00F605EB" w:rsidRDefault="00E43777">
      <w:pPr>
        <w:pStyle w:val="ad"/>
        <w:widowControl/>
        <w:spacing w:beforeAutospacing="0" w:afterAutospacing="0" w:line="580" w:lineRule="exact"/>
        <w:ind w:firstLine="555"/>
        <w:rPr>
          <w:rStyle w:val="NormalCharacter"/>
          <w:rFonts w:ascii="仿宋_GB2312" w:eastAsia="仿宋_GB2312" w:hAnsi="黑体" w:cs="黑体"/>
          <w:b/>
          <w:sz w:val="30"/>
          <w:szCs w:val="30"/>
        </w:rPr>
      </w:pPr>
      <w:r>
        <w:rPr>
          <w:rStyle w:val="NormalCharacter"/>
          <w:rFonts w:ascii="仿宋_GB2312" w:eastAsia="仿宋_GB2312" w:hAnsi="黑体" w:cs="黑体" w:hint="eastAsia"/>
          <w:b/>
          <w:sz w:val="30"/>
          <w:szCs w:val="30"/>
        </w:rPr>
        <w:t>（二）学科建设情况</w:t>
      </w:r>
    </w:p>
    <w:p w14:paraId="68C56EC4" w14:textId="77777777" w:rsidR="00F605EB" w:rsidRDefault="00E43777">
      <w:pPr>
        <w:pStyle w:val="ad"/>
        <w:widowControl/>
        <w:spacing w:beforeAutospacing="0" w:afterAutospacing="0" w:line="580" w:lineRule="exact"/>
        <w:ind w:firstLine="555"/>
        <w:rPr>
          <w:rStyle w:val="NormalCharacter"/>
          <w:rFonts w:ascii="仿宋_GB2312" w:eastAsia="仿宋_GB2312" w:hAnsi="黑体" w:cs="黑体"/>
          <w:sz w:val="30"/>
          <w:szCs w:val="30"/>
        </w:rPr>
      </w:pPr>
      <w:r>
        <w:rPr>
          <w:rFonts w:ascii="仿宋" w:eastAsia="仿宋" w:hAnsi="仿宋" w:cs="仿宋" w:hint="eastAsia"/>
          <w:sz w:val="30"/>
          <w:szCs w:val="30"/>
        </w:rPr>
        <w:t>教育硕士现有教育管理、学科教学、职业技术教育、学前教育、现代教育技术5个专业领域</w:t>
      </w:r>
      <w:r>
        <w:rPr>
          <w:rStyle w:val="NormalCharacter"/>
          <w:rFonts w:ascii="仿宋_GB2312" w:eastAsia="仿宋_GB2312" w:hAnsi="黑体" w:cs="黑体" w:hint="eastAsia"/>
          <w:sz w:val="30"/>
          <w:szCs w:val="30"/>
        </w:rPr>
        <w:t>。本学科在职业教育理论研究与交流、“双师型”职教师资培养与培训、职业教育与产业融合发展等领域在全国具有较大的优势与特色，成为了全国职教师资培养领域“北有天津、南有江西、南北呼应、优势互补”格局中的重要一极。</w:t>
      </w:r>
    </w:p>
    <w:p w14:paraId="79374CDC" w14:textId="77777777" w:rsidR="00F605EB" w:rsidRDefault="00E43777" w:rsidP="008D2C63">
      <w:pPr>
        <w:pStyle w:val="ad"/>
        <w:widowControl/>
        <w:spacing w:beforeAutospacing="0" w:afterAutospacing="0" w:line="580" w:lineRule="exact"/>
        <w:ind w:firstLine="555"/>
        <w:rPr>
          <w:rStyle w:val="NormalCharacter"/>
          <w:rFonts w:ascii="仿宋_GB2312" w:eastAsia="仿宋_GB2312" w:hAnsi="黑体" w:cs="黑体"/>
          <w:sz w:val="30"/>
          <w:szCs w:val="30"/>
        </w:rPr>
      </w:pPr>
      <w:r>
        <w:rPr>
          <w:rStyle w:val="NormalCharacter"/>
          <w:rFonts w:ascii="仿宋_GB2312" w:eastAsia="仿宋_GB2312" w:hAnsi="黑体" w:cs="黑体" w:hint="eastAsia"/>
          <w:sz w:val="30"/>
          <w:szCs w:val="30"/>
        </w:rPr>
        <w:t>本学科是全国职教师资专业委员会副主任单位、全国职业技术教育学学科联盟发起单位，中国校友会2019学科排名：本学</w:t>
      </w:r>
      <w:r>
        <w:rPr>
          <w:rStyle w:val="NormalCharacter"/>
          <w:rFonts w:ascii="仿宋_GB2312" w:eastAsia="仿宋_GB2312" w:hAnsi="黑体" w:cs="黑体" w:hint="eastAsia"/>
          <w:sz w:val="30"/>
          <w:szCs w:val="30"/>
        </w:rPr>
        <w:lastRenderedPageBreak/>
        <w:t>科进入前 27%。本学科带头人遴选为教育部中职学校教学指导委员会副主任并代表全国同类院校出席教育部“1+1”发布会作主旨发言（2019年），学科方向点带头人遴选为中国职业教育学会学术委员</w:t>
      </w:r>
      <w:r w:rsidR="008D2C63">
        <w:rPr>
          <w:rStyle w:val="NormalCharacter"/>
          <w:rFonts w:ascii="仿宋_GB2312" w:eastAsia="仿宋_GB2312" w:hAnsi="黑体" w:cs="黑体" w:hint="eastAsia"/>
          <w:sz w:val="30"/>
          <w:szCs w:val="30"/>
        </w:rPr>
        <w:t>。</w:t>
      </w:r>
      <w:r>
        <w:rPr>
          <w:rStyle w:val="NormalCharacter"/>
          <w:rFonts w:ascii="仿宋_GB2312" w:eastAsia="仿宋_GB2312" w:hAnsi="黑体" w:cs="黑体" w:hint="eastAsia"/>
          <w:sz w:val="30"/>
          <w:szCs w:val="30"/>
        </w:rPr>
        <w:t>本学科建有中非教育交流中心、中摩研究中心</w:t>
      </w:r>
      <w:r w:rsidRPr="008D2C63">
        <w:rPr>
          <w:rStyle w:val="NormalCharacter"/>
          <w:rFonts w:ascii="仿宋_GB2312" w:eastAsia="仿宋_GB2312" w:hAnsi="黑体" w:cs="黑体" w:hint="eastAsia"/>
          <w:sz w:val="30"/>
          <w:szCs w:val="30"/>
        </w:rPr>
        <w:t>等</w:t>
      </w:r>
      <w:r>
        <w:rPr>
          <w:rStyle w:val="NormalCharacter"/>
          <w:rFonts w:ascii="仿宋_GB2312" w:eastAsia="仿宋_GB2312" w:hAnsi="黑体" w:cs="黑体" w:hint="eastAsia"/>
          <w:sz w:val="30"/>
          <w:szCs w:val="30"/>
        </w:rPr>
        <w:t>国际合作研究平台，通过中非职业教育国际学术论坛等国际学术会议，不断拓展学科国际影响。</w:t>
      </w:r>
    </w:p>
    <w:p w14:paraId="598C9732" w14:textId="77777777" w:rsidR="00F605EB" w:rsidRDefault="00E43777">
      <w:pPr>
        <w:pStyle w:val="ad"/>
        <w:widowControl/>
        <w:spacing w:beforeAutospacing="0" w:afterAutospacing="0" w:line="580" w:lineRule="exact"/>
        <w:ind w:firstLine="555"/>
        <w:rPr>
          <w:rStyle w:val="NormalCharacter"/>
          <w:rFonts w:ascii="仿宋_GB2312" w:eastAsia="仿宋_GB2312" w:hAnsi="黑体" w:cs="黑体"/>
          <w:b/>
          <w:sz w:val="30"/>
          <w:szCs w:val="30"/>
        </w:rPr>
      </w:pPr>
      <w:r>
        <w:rPr>
          <w:rStyle w:val="NormalCharacter"/>
          <w:rFonts w:ascii="仿宋_GB2312" w:eastAsia="仿宋_GB2312" w:hAnsi="黑体" w:cs="黑体" w:hint="eastAsia"/>
          <w:b/>
          <w:sz w:val="30"/>
          <w:szCs w:val="30"/>
        </w:rPr>
        <w:t>（三）研究生招生、在读、毕业、学位授予及就业基本状况</w:t>
      </w:r>
    </w:p>
    <w:p w14:paraId="01913C00" w14:textId="77777777" w:rsidR="00F605EB" w:rsidRDefault="00E43777">
      <w:pPr>
        <w:pStyle w:val="ad"/>
        <w:widowControl/>
        <w:spacing w:beforeAutospacing="0" w:afterAutospacing="0" w:line="580" w:lineRule="exact"/>
        <w:ind w:firstLine="555"/>
        <w:rPr>
          <w:rStyle w:val="NormalCharacter"/>
          <w:rFonts w:ascii="仿宋_GB2312" w:eastAsia="仿宋_GB2312" w:hAnsi="黑体" w:cs="黑体"/>
          <w:sz w:val="30"/>
          <w:szCs w:val="30"/>
        </w:rPr>
      </w:pPr>
      <w:r>
        <w:rPr>
          <w:rStyle w:val="NormalCharacter"/>
          <w:rFonts w:ascii="仿宋_GB2312" w:eastAsia="仿宋_GB2312" w:hAnsi="黑体" w:cs="黑体" w:hint="eastAsia"/>
          <w:sz w:val="30"/>
          <w:szCs w:val="30"/>
        </w:rPr>
        <w:t>现有教育硕士在读研究生487人，其中全日制321人，非全日制166人。2021年</w:t>
      </w:r>
      <w:r>
        <w:rPr>
          <w:rStyle w:val="NormalCharacter"/>
          <w:rFonts w:ascii="仿宋_GB2312" w:eastAsia="仿宋_GB2312" w:hAnsi="黑体" w:cs="黑体" w:hint="eastAsia"/>
          <w:sz w:val="30"/>
        </w:rPr>
        <w:t>教育硕士共招生2</w:t>
      </w:r>
      <w:r w:rsidR="00935FC3">
        <w:rPr>
          <w:rStyle w:val="NormalCharacter"/>
          <w:rFonts w:ascii="仿宋_GB2312" w:eastAsia="仿宋_GB2312" w:hAnsi="黑体" w:cs="黑体" w:hint="eastAsia"/>
          <w:sz w:val="30"/>
        </w:rPr>
        <w:t>4</w:t>
      </w:r>
      <w:r w:rsidR="00D26B45">
        <w:rPr>
          <w:rStyle w:val="NormalCharacter"/>
          <w:rFonts w:ascii="仿宋_GB2312" w:eastAsia="仿宋_GB2312" w:hAnsi="黑体" w:cs="黑体" w:hint="eastAsia"/>
          <w:sz w:val="30"/>
        </w:rPr>
        <w:t>8</w:t>
      </w:r>
      <w:r>
        <w:rPr>
          <w:rStyle w:val="NormalCharacter"/>
          <w:rFonts w:ascii="仿宋_GB2312" w:eastAsia="仿宋_GB2312" w:hAnsi="黑体" w:cs="黑体" w:hint="eastAsia"/>
          <w:sz w:val="30"/>
        </w:rPr>
        <w:t>人（全日制16</w:t>
      </w:r>
      <w:r w:rsidR="00D26B45">
        <w:rPr>
          <w:rStyle w:val="NormalCharacter"/>
          <w:rFonts w:ascii="仿宋_GB2312" w:eastAsia="仿宋_GB2312" w:hAnsi="黑体" w:cs="黑体" w:hint="eastAsia"/>
          <w:sz w:val="30"/>
        </w:rPr>
        <w:t>5</w:t>
      </w:r>
      <w:r>
        <w:rPr>
          <w:rStyle w:val="NormalCharacter"/>
          <w:rFonts w:ascii="仿宋_GB2312" w:eastAsia="仿宋_GB2312" w:hAnsi="黑体" w:cs="黑体" w:hint="eastAsia"/>
          <w:sz w:val="30"/>
        </w:rPr>
        <w:t>人，非全日制</w:t>
      </w:r>
      <w:r w:rsidR="00935FC3">
        <w:rPr>
          <w:rStyle w:val="NormalCharacter"/>
          <w:rFonts w:ascii="仿宋_GB2312" w:eastAsia="仿宋_GB2312" w:hAnsi="黑体" w:cs="黑体" w:hint="eastAsia"/>
          <w:sz w:val="30"/>
        </w:rPr>
        <w:t>8</w:t>
      </w:r>
      <w:r>
        <w:rPr>
          <w:rStyle w:val="NormalCharacter"/>
          <w:rFonts w:ascii="仿宋_GB2312" w:eastAsia="仿宋_GB2312" w:hAnsi="黑体" w:cs="黑体" w:hint="eastAsia"/>
          <w:sz w:val="30"/>
        </w:rPr>
        <w:t>3人），</w:t>
      </w:r>
      <w:r>
        <w:rPr>
          <w:rStyle w:val="NormalCharacter"/>
          <w:rFonts w:ascii="仿宋_GB2312" w:eastAsia="仿宋_GB2312" w:hAnsi="黑体" w:cs="黑体" w:hint="eastAsia"/>
          <w:sz w:val="30"/>
          <w:szCs w:val="30"/>
        </w:rPr>
        <w:t>其中教育管理22人，现代教育技术33人，学前教育42人，学科教学（英语）4</w:t>
      </w:r>
      <w:r w:rsidR="00935FC3">
        <w:rPr>
          <w:rStyle w:val="NormalCharacter"/>
          <w:rFonts w:ascii="仿宋_GB2312" w:eastAsia="仿宋_GB2312" w:hAnsi="黑体" w:cs="黑体" w:hint="eastAsia"/>
          <w:sz w:val="30"/>
          <w:szCs w:val="30"/>
        </w:rPr>
        <w:t>0</w:t>
      </w:r>
      <w:r>
        <w:rPr>
          <w:rStyle w:val="NormalCharacter"/>
          <w:rFonts w:ascii="仿宋_GB2312" w:eastAsia="仿宋_GB2312" w:hAnsi="黑体" w:cs="黑体" w:hint="eastAsia"/>
          <w:sz w:val="30"/>
          <w:szCs w:val="30"/>
        </w:rPr>
        <w:t>人，学科教学（语文）3</w:t>
      </w:r>
      <w:r w:rsidR="00935FC3">
        <w:rPr>
          <w:rStyle w:val="NormalCharacter"/>
          <w:rFonts w:ascii="仿宋_GB2312" w:eastAsia="仿宋_GB2312" w:hAnsi="黑体" w:cs="黑体" w:hint="eastAsia"/>
          <w:sz w:val="30"/>
          <w:szCs w:val="30"/>
        </w:rPr>
        <w:t>7</w:t>
      </w:r>
      <w:r>
        <w:rPr>
          <w:rStyle w:val="NormalCharacter"/>
          <w:rFonts w:ascii="仿宋_GB2312" w:eastAsia="仿宋_GB2312" w:hAnsi="黑体" w:cs="黑体" w:hint="eastAsia"/>
          <w:sz w:val="30"/>
          <w:szCs w:val="30"/>
        </w:rPr>
        <w:t>人，学科教学（历史）1</w:t>
      </w:r>
      <w:r w:rsidR="00935FC3">
        <w:rPr>
          <w:rStyle w:val="NormalCharacter"/>
          <w:rFonts w:ascii="仿宋_GB2312" w:eastAsia="仿宋_GB2312" w:hAnsi="黑体" w:cs="黑体" w:hint="eastAsia"/>
          <w:sz w:val="30"/>
          <w:szCs w:val="30"/>
        </w:rPr>
        <w:t>7</w:t>
      </w:r>
      <w:r>
        <w:rPr>
          <w:rStyle w:val="NormalCharacter"/>
          <w:rFonts w:ascii="仿宋_GB2312" w:eastAsia="仿宋_GB2312" w:hAnsi="黑体" w:cs="黑体" w:hint="eastAsia"/>
          <w:sz w:val="30"/>
          <w:szCs w:val="30"/>
        </w:rPr>
        <w:t>人，学科教学（数学）14人，职业技术教育（旅游商贸）1</w:t>
      </w:r>
      <w:r w:rsidR="00935FC3">
        <w:rPr>
          <w:rStyle w:val="NormalCharacter"/>
          <w:rFonts w:ascii="仿宋_GB2312" w:eastAsia="仿宋_GB2312" w:hAnsi="黑体" w:cs="黑体" w:hint="eastAsia"/>
          <w:sz w:val="30"/>
          <w:szCs w:val="30"/>
        </w:rPr>
        <w:t>4</w:t>
      </w:r>
      <w:r>
        <w:rPr>
          <w:rStyle w:val="NormalCharacter"/>
          <w:rFonts w:ascii="仿宋_GB2312" w:eastAsia="仿宋_GB2312" w:hAnsi="黑体" w:cs="黑体" w:hint="eastAsia"/>
          <w:sz w:val="30"/>
          <w:szCs w:val="30"/>
        </w:rPr>
        <w:t>人，职业技术教育（旅游服务）15人，职业技术教育（信息技术）1</w:t>
      </w:r>
      <w:r w:rsidR="00935FC3">
        <w:rPr>
          <w:rStyle w:val="NormalCharacter"/>
          <w:rFonts w:ascii="仿宋_GB2312" w:eastAsia="仿宋_GB2312" w:hAnsi="黑体" w:cs="黑体" w:hint="eastAsia"/>
          <w:sz w:val="30"/>
          <w:szCs w:val="30"/>
        </w:rPr>
        <w:t>0</w:t>
      </w:r>
      <w:r>
        <w:rPr>
          <w:rStyle w:val="NormalCharacter"/>
          <w:rFonts w:ascii="仿宋_GB2312" w:eastAsia="仿宋_GB2312" w:hAnsi="黑体" w:cs="黑体" w:hint="eastAsia"/>
          <w:sz w:val="30"/>
          <w:szCs w:val="30"/>
        </w:rPr>
        <w:t>人，职业技术教育（文化艺术）4人。</w:t>
      </w:r>
      <w:r w:rsidR="00D26B45">
        <w:rPr>
          <w:rStyle w:val="NormalCharacter"/>
          <w:rFonts w:ascii="仿宋_GB2312" w:eastAsia="仿宋_GB2312" w:hAnsi="黑体" w:cs="黑体" w:hint="eastAsia"/>
          <w:sz w:val="30"/>
          <w:szCs w:val="30"/>
        </w:rPr>
        <w:t>2021年授予学位人数155人。</w:t>
      </w:r>
      <w:r>
        <w:rPr>
          <w:rStyle w:val="NormalCharacter"/>
          <w:rFonts w:ascii="仿宋_GB2312" w:eastAsia="仿宋_GB2312" w:hAnsi="黑体" w:cs="黑体" w:hint="eastAsia"/>
          <w:sz w:val="30"/>
        </w:rPr>
        <w:t>2021届毕业生为155人截止2021年九月），就业率93.5%，就业单位为教育行业且工作职位为教学人员的比例为77%（119人）。</w:t>
      </w:r>
    </w:p>
    <w:p w14:paraId="3BB76F84" w14:textId="77777777" w:rsidR="00F605EB" w:rsidRDefault="00E43777">
      <w:pPr>
        <w:pStyle w:val="ad"/>
        <w:widowControl/>
        <w:spacing w:beforeAutospacing="0" w:afterAutospacing="0" w:line="580" w:lineRule="exact"/>
        <w:ind w:firstLineChars="150" w:firstLine="452"/>
        <w:rPr>
          <w:rFonts w:ascii="仿宋_GB2312" w:eastAsia="仿宋_GB2312" w:hAnsi="黑体" w:cs="黑体"/>
          <w:b/>
          <w:kern w:val="2"/>
          <w:sz w:val="30"/>
          <w:szCs w:val="30"/>
        </w:rPr>
      </w:pPr>
      <w:r>
        <w:rPr>
          <w:rStyle w:val="NormalCharacter"/>
          <w:rFonts w:ascii="仿宋_GB2312" w:eastAsia="仿宋_GB2312" w:hAnsi="黑体" w:cs="黑体" w:hint="eastAsia"/>
          <w:b/>
          <w:sz w:val="30"/>
          <w:szCs w:val="30"/>
        </w:rPr>
        <w:t>（四）研究生导师状况</w:t>
      </w:r>
    </w:p>
    <w:p w14:paraId="073DF88B" w14:textId="77777777" w:rsidR="00F605EB" w:rsidRDefault="00E43777">
      <w:pPr>
        <w:spacing w:line="580" w:lineRule="exact"/>
        <w:ind w:firstLineChars="200" w:firstLine="600"/>
        <w:rPr>
          <w:rStyle w:val="NormalCharacter"/>
          <w:rFonts w:ascii="仿宋_GB2312" w:eastAsia="仿宋_GB2312" w:hAnsi="黑体" w:cs="黑体"/>
          <w:sz w:val="30"/>
          <w:szCs w:val="30"/>
        </w:rPr>
      </w:pPr>
      <w:r>
        <w:rPr>
          <w:rStyle w:val="NormalCharacter"/>
          <w:rFonts w:ascii="仿宋_GB2312" w:eastAsia="仿宋_GB2312" w:hAnsi="黑体" w:cs="黑体" w:hint="eastAsia"/>
          <w:sz w:val="30"/>
        </w:rPr>
        <w:t>学校把加强导师队伍建设放在首位，努力造就一支师德高尚、业务精湛、结构合理、充满活力的高素质专业化导师队伍。</w:t>
      </w:r>
      <w:r>
        <w:rPr>
          <w:rStyle w:val="NormalCharacter"/>
          <w:rFonts w:ascii="仿宋_GB2312" w:eastAsia="仿宋_GB2312" w:hAnsi="黑体" w:cs="黑体" w:hint="eastAsia"/>
          <w:sz w:val="30"/>
          <w:szCs w:val="30"/>
        </w:rPr>
        <w:t>2021年本学位点严格导师遴选，重新确定教育硕士研究生导师共260人，其中校内136</w:t>
      </w:r>
      <w:r w:rsidR="008D2C63">
        <w:rPr>
          <w:rStyle w:val="NormalCharacter"/>
          <w:rFonts w:ascii="仿宋_GB2312" w:eastAsia="仿宋_GB2312" w:hAnsi="黑体" w:cs="黑体" w:hint="eastAsia"/>
          <w:sz w:val="30"/>
          <w:szCs w:val="30"/>
        </w:rPr>
        <w:t>人、校外</w:t>
      </w:r>
      <w:r>
        <w:rPr>
          <w:rStyle w:val="NormalCharacter"/>
          <w:rFonts w:ascii="仿宋_GB2312" w:eastAsia="仿宋_GB2312" w:hAnsi="黑体" w:cs="黑体" w:hint="eastAsia"/>
          <w:sz w:val="30"/>
          <w:szCs w:val="30"/>
        </w:rPr>
        <w:t>124人。校内</w:t>
      </w:r>
      <w:r w:rsidRPr="008D2C63">
        <w:rPr>
          <w:rStyle w:val="NormalCharacter"/>
          <w:rFonts w:ascii="仿宋_GB2312" w:eastAsia="仿宋_GB2312" w:hAnsi="黑体" w:cs="黑体" w:hint="eastAsia"/>
          <w:sz w:val="30"/>
          <w:szCs w:val="30"/>
        </w:rPr>
        <w:t>硕导</w:t>
      </w:r>
      <w:r>
        <w:rPr>
          <w:rStyle w:val="NormalCharacter"/>
          <w:rFonts w:ascii="仿宋_GB2312" w:eastAsia="仿宋_GB2312" w:hAnsi="黑体" w:cs="黑体" w:hint="eastAsia"/>
          <w:sz w:val="30"/>
          <w:szCs w:val="30"/>
        </w:rPr>
        <w:t>中高级职称共101人，占比74.2%，其中正高级48人，副高级53人，正高级职称比例35.2%；获得博士学位比例超过50%。</w:t>
      </w:r>
    </w:p>
    <w:p w14:paraId="6F74A66A" w14:textId="77777777" w:rsidR="00F605EB" w:rsidRDefault="00E43777">
      <w:pPr>
        <w:pStyle w:val="3"/>
        <w:spacing w:line="580" w:lineRule="exact"/>
        <w:ind w:firstLine="602"/>
        <w:rPr>
          <w:rStyle w:val="NormalCharacter"/>
          <w:rFonts w:ascii="仿宋_GB2312" w:eastAsia="仿宋_GB2312" w:hAnsi="黑体" w:cs="黑体"/>
          <w:b/>
          <w:color w:val="auto"/>
          <w:sz w:val="30"/>
          <w:szCs w:val="30"/>
        </w:rPr>
      </w:pPr>
      <w:r>
        <w:rPr>
          <w:rStyle w:val="NormalCharacter"/>
          <w:rFonts w:ascii="仿宋_GB2312" w:eastAsia="仿宋_GB2312" w:hAnsi="黑体" w:cs="黑体" w:hint="eastAsia"/>
          <w:b/>
          <w:color w:val="auto"/>
          <w:sz w:val="30"/>
          <w:szCs w:val="30"/>
        </w:rPr>
        <w:lastRenderedPageBreak/>
        <w:t>二、研究生党建与思想政治教育工作</w:t>
      </w:r>
    </w:p>
    <w:p w14:paraId="69211A01" w14:textId="77777777" w:rsidR="00F605EB" w:rsidRDefault="00E43777">
      <w:pPr>
        <w:spacing w:line="580" w:lineRule="exact"/>
        <w:ind w:firstLineChars="200" w:firstLine="600"/>
        <w:rPr>
          <w:rStyle w:val="NormalCharacter"/>
          <w:rFonts w:ascii="仿宋_GB2312" w:eastAsia="仿宋_GB2312" w:hAnsi="黑体" w:cs="黑体"/>
          <w:sz w:val="30"/>
        </w:rPr>
      </w:pPr>
      <w:r>
        <w:rPr>
          <w:rStyle w:val="NormalCharacter"/>
          <w:rFonts w:ascii="仿宋_GB2312" w:eastAsia="仿宋_GB2312" w:hAnsi="黑体" w:cs="黑体" w:hint="eastAsia"/>
          <w:sz w:val="30"/>
        </w:rPr>
        <w:t>本学位点以学校开启二次创业新征程为起点，通过解放思想大讨论活动，营造“思想大解放、作风大转变、能力大提升”良好氛围，强化党建引领，激发凝心聚力新活力。学校作为“江西省高校党的基层组织建设创新成果”一等奖（2016年）单位，始终坚持夯实基层党组织建设，构建“学校党委统领、研究生院党委主抓、培养学院党委协同、研究生支部规范配置”的基层党组织网格化格局，形成基层党组织建设三大工作特色：</w:t>
      </w:r>
    </w:p>
    <w:p w14:paraId="35EF8EFA" w14:textId="77777777" w:rsidR="00F605EB" w:rsidRDefault="00E43777">
      <w:pPr>
        <w:spacing w:line="580" w:lineRule="exact"/>
        <w:ind w:firstLineChars="200" w:firstLine="600"/>
        <w:rPr>
          <w:rStyle w:val="NormalCharacter"/>
          <w:rFonts w:ascii="仿宋_GB2312" w:eastAsia="仿宋_GB2312" w:hAnsi="黑体" w:cs="黑体"/>
          <w:sz w:val="30"/>
        </w:rPr>
      </w:pPr>
      <w:r>
        <w:rPr>
          <w:rStyle w:val="NormalCharacter"/>
          <w:rFonts w:ascii="仿宋_GB2312" w:eastAsia="仿宋_GB2312" w:hAnsi="黑体" w:cs="黑体" w:hint="eastAsia"/>
          <w:sz w:val="30"/>
        </w:rPr>
        <w:t>一是党建工作创新化，打造四项工程：“连心、强基、模范”、“党性锻炼”、“凝心聚力”、“能力建设”四项工程推进有声有色；</w:t>
      </w:r>
    </w:p>
    <w:p w14:paraId="424CD4E7" w14:textId="77777777" w:rsidR="00F605EB" w:rsidRDefault="00E43777">
      <w:pPr>
        <w:spacing w:line="580" w:lineRule="exact"/>
        <w:ind w:firstLineChars="200" w:firstLine="600"/>
        <w:rPr>
          <w:rStyle w:val="NormalCharacter"/>
          <w:rFonts w:ascii="仿宋_GB2312" w:eastAsia="仿宋_GB2312" w:hAnsi="黑体" w:cs="黑体"/>
          <w:sz w:val="30"/>
        </w:rPr>
      </w:pPr>
      <w:r>
        <w:rPr>
          <w:rStyle w:val="NormalCharacter"/>
          <w:rFonts w:ascii="仿宋_GB2312" w:eastAsia="仿宋_GB2312" w:hAnsi="黑体" w:cs="黑体" w:hint="eastAsia"/>
          <w:sz w:val="30"/>
        </w:rPr>
        <w:t>二是党建工作系统化，推进系列项目：“红色课堂、红色旋律、红色记忆、红色足迹、红色情怀、红色先锋”六大红色系列项目获“江西省高校校园文化建设成果”一等奖，并确定为“江西省高校基层党建工作重点项目”；</w:t>
      </w:r>
    </w:p>
    <w:p w14:paraId="189071B8" w14:textId="77777777" w:rsidR="00F605EB" w:rsidRDefault="00E43777">
      <w:pPr>
        <w:spacing w:line="580" w:lineRule="exact"/>
        <w:ind w:firstLineChars="200" w:firstLine="600"/>
        <w:rPr>
          <w:rStyle w:val="NormalCharacter"/>
          <w:rFonts w:ascii="仿宋_GB2312" w:eastAsia="仿宋_GB2312" w:hAnsi="黑体" w:cs="黑体"/>
          <w:sz w:val="30"/>
        </w:rPr>
      </w:pPr>
      <w:r>
        <w:rPr>
          <w:rStyle w:val="NormalCharacter"/>
          <w:rFonts w:ascii="仿宋_GB2312" w:eastAsia="仿宋_GB2312" w:hAnsi="黑体" w:cs="黑体" w:hint="eastAsia"/>
          <w:sz w:val="30"/>
        </w:rPr>
        <w:t>三是党建工作人本化，促进和谐校园建设：作为江西省党建工作优秀高校，学校连续多年被授予“江西省综治工作先进单位”。本学科研究生辅导员中专职人员比例、专职辅导员生师比均达到国家要求的200︰1的标准。</w:t>
      </w:r>
    </w:p>
    <w:p w14:paraId="7867647A" w14:textId="77777777" w:rsidR="00F605EB" w:rsidRDefault="00E43777">
      <w:pPr>
        <w:spacing w:line="580" w:lineRule="exact"/>
        <w:ind w:firstLineChars="200" w:firstLine="600"/>
        <w:rPr>
          <w:rStyle w:val="NormalCharacter"/>
          <w:rFonts w:ascii="仿宋_GB2312" w:eastAsia="仿宋_GB2312" w:hAnsi="黑体" w:cs="黑体"/>
          <w:sz w:val="30"/>
        </w:rPr>
      </w:pPr>
      <w:r>
        <w:rPr>
          <w:rStyle w:val="NormalCharacter"/>
          <w:rFonts w:ascii="仿宋_GB2312" w:eastAsia="仿宋_GB2312" w:hAnsi="黑体" w:cs="黑体" w:hint="eastAsia"/>
          <w:sz w:val="30"/>
        </w:rPr>
        <w:t>本学位点坚持同向同行，春风化雨，构建“两拓三联四化”大思政格局：以两拓提升思政针对性，实现思想政治理论课堂到专业课堂、第一课堂到第二课堂的两个拓展；以 “三联”，提升思政的协同性，建立校领导联系学院、班级和学生，处级干部联系班级和学生，专业教师联系相应课程学生的机制；以“四化”提升思政的有效性，坚持特色化让思政有深度，坚持系统化让思</w:t>
      </w:r>
      <w:r>
        <w:rPr>
          <w:rStyle w:val="NormalCharacter"/>
          <w:rFonts w:ascii="仿宋_GB2312" w:eastAsia="仿宋_GB2312" w:hAnsi="黑体" w:cs="黑体" w:hint="eastAsia"/>
          <w:sz w:val="30"/>
        </w:rPr>
        <w:lastRenderedPageBreak/>
        <w:t>政有热度，坚持典型化让思政有广度，坚持时代化让思政有力度。</w:t>
      </w:r>
    </w:p>
    <w:p w14:paraId="318684D9" w14:textId="77777777" w:rsidR="00F605EB" w:rsidRDefault="00E43777">
      <w:pPr>
        <w:pStyle w:val="3"/>
        <w:spacing w:line="580" w:lineRule="exact"/>
        <w:ind w:firstLine="643"/>
        <w:rPr>
          <w:rStyle w:val="NormalCharacter"/>
          <w:rFonts w:ascii="黑体" w:eastAsia="黑体" w:hAnsi="黑体" w:cs="黑体"/>
          <w:b/>
          <w:color w:val="auto"/>
          <w:sz w:val="32"/>
        </w:rPr>
      </w:pPr>
      <w:r>
        <w:rPr>
          <w:rStyle w:val="NormalCharacter"/>
          <w:rFonts w:ascii="黑体" w:eastAsia="黑体" w:hAnsi="黑体" w:cs="黑体" w:hint="eastAsia"/>
          <w:b/>
          <w:color w:val="auto"/>
          <w:sz w:val="32"/>
        </w:rPr>
        <w:t>三、研究生培养相关制度及执行情况</w:t>
      </w:r>
    </w:p>
    <w:p w14:paraId="10A33B4C" w14:textId="77777777" w:rsidR="00F605EB" w:rsidRDefault="00E43777">
      <w:pPr>
        <w:pStyle w:val="3"/>
        <w:spacing w:line="580" w:lineRule="exact"/>
        <w:ind w:firstLine="602"/>
        <w:rPr>
          <w:rStyle w:val="NormalCharacter"/>
          <w:rFonts w:ascii="仿宋_GB2312" w:eastAsia="仿宋_GB2312" w:hAnsi="黑体" w:cs="黑体"/>
          <w:b/>
          <w:color w:val="auto"/>
          <w:sz w:val="30"/>
          <w:szCs w:val="30"/>
        </w:rPr>
      </w:pPr>
      <w:r>
        <w:rPr>
          <w:rStyle w:val="NormalCharacter"/>
          <w:rFonts w:ascii="仿宋_GB2312" w:eastAsia="仿宋_GB2312" w:hAnsi="黑体" w:cs="黑体" w:hint="eastAsia"/>
          <w:b/>
          <w:color w:val="auto"/>
          <w:sz w:val="30"/>
          <w:szCs w:val="30"/>
        </w:rPr>
        <w:t>（一）</w:t>
      </w:r>
      <w:r>
        <w:rPr>
          <w:rStyle w:val="NormalCharacter"/>
          <w:rFonts w:ascii="仿宋_GB2312" w:eastAsia="仿宋_GB2312" w:hAnsi="黑体" w:cs="黑体"/>
          <w:b/>
          <w:color w:val="auto"/>
          <w:sz w:val="30"/>
          <w:szCs w:val="30"/>
        </w:rPr>
        <w:t>课程建设与实施情况</w:t>
      </w:r>
    </w:p>
    <w:p w14:paraId="61268A81" w14:textId="77777777" w:rsidR="00F605EB" w:rsidRDefault="00E43777">
      <w:pPr>
        <w:pStyle w:val="ad"/>
        <w:widowControl/>
        <w:spacing w:beforeAutospacing="0" w:afterAutospacing="0" w:line="580" w:lineRule="exact"/>
        <w:ind w:firstLineChars="200" w:firstLine="600"/>
        <w:rPr>
          <w:rStyle w:val="NormalCharacter"/>
          <w:rFonts w:ascii="仿宋_GB2312" w:eastAsia="仿宋_GB2312" w:hAnsi="黑体" w:cs="黑体"/>
          <w:sz w:val="30"/>
          <w:szCs w:val="30"/>
        </w:rPr>
      </w:pPr>
      <w:r>
        <w:rPr>
          <w:rStyle w:val="NormalCharacter"/>
          <w:rFonts w:ascii="仿宋_GB2312" w:eastAsia="仿宋_GB2312" w:hAnsi="黑体" w:cs="黑体"/>
          <w:sz w:val="30"/>
          <w:szCs w:val="30"/>
        </w:rPr>
        <w:t>重视课程学习，加强课程建设，提高课程质量，是当前深化研究生教育改革的重要和紧迫任务。</w:t>
      </w:r>
      <w:r>
        <w:rPr>
          <w:rStyle w:val="NormalCharacter"/>
          <w:rFonts w:ascii="仿宋_GB2312" w:eastAsia="仿宋_GB2312" w:hAnsi="黑体" w:cs="黑体" w:hint="eastAsia"/>
          <w:sz w:val="30"/>
          <w:szCs w:val="30"/>
        </w:rPr>
        <w:t>根据</w:t>
      </w:r>
      <w:r>
        <w:rPr>
          <w:rStyle w:val="NormalCharacter"/>
          <w:rFonts w:ascii="仿宋_GB2312" w:eastAsia="仿宋_GB2312" w:hAnsi="黑体" w:cs="黑体"/>
          <w:sz w:val="30"/>
          <w:szCs w:val="30"/>
        </w:rPr>
        <w:t>教育硕士</w:t>
      </w:r>
      <w:r>
        <w:rPr>
          <w:rStyle w:val="NormalCharacter"/>
          <w:rFonts w:ascii="仿宋_GB2312" w:eastAsia="仿宋_GB2312" w:hAnsi="黑体" w:cs="黑体" w:hint="eastAsia"/>
          <w:sz w:val="30"/>
          <w:szCs w:val="30"/>
        </w:rPr>
        <w:t>的</w:t>
      </w:r>
      <w:r>
        <w:rPr>
          <w:rStyle w:val="NormalCharacter"/>
          <w:rFonts w:ascii="仿宋_GB2312" w:eastAsia="仿宋_GB2312" w:hAnsi="黑体" w:cs="黑体"/>
          <w:sz w:val="30"/>
          <w:szCs w:val="30"/>
        </w:rPr>
        <w:t>职业背景，</w:t>
      </w:r>
      <w:r>
        <w:rPr>
          <w:rStyle w:val="NormalCharacter"/>
          <w:rFonts w:ascii="仿宋_GB2312" w:eastAsia="仿宋_GB2312" w:hAnsi="黑体" w:cs="黑体" w:hint="eastAsia"/>
          <w:sz w:val="30"/>
          <w:szCs w:val="30"/>
        </w:rPr>
        <w:t>研究生院及各培养</w:t>
      </w:r>
      <w:r w:rsidR="008D2C63">
        <w:rPr>
          <w:rStyle w:val="NormalCharacter"/>
          <w:rFonts w:ascii="仿宋_GB2312" w:eastAsia="仿宋_GB2312" w:hAnsi="黑体" w:cs="黑体" w:hint="eastAsia"/>
          <w:sz w:val="30"/>
          <w:szCs w:val="30"/>
        </w:rPr>
        <w:t>单位</w:t>
      </w:r>
      <w:r>
        <w:rPr>
          <w:rStyle w:val="NormalCharacter"/>
          <w:rFonts w:ascii="仿宋_GB2312" w:eastAsia="仿宋_GB2312" w:hAnsi="黑体" w:cs="黑体" w:hint="eastAsia"/>
          <w:sz w:val="30"/>
          <w:szCs w:val="30"/>
        </w:rPr>
        <w:t>日益</w:t>
      </w:r>
      <w:r>
        <w:rPr>
          <w:rStyle w:val="NormalCharacter"/>
          <w:rFonts w:ascii="仿宋_GB2312" w:eastAsia="仿宋_GB2312" w:hAnsi="黑体" w:cs="黑体"/>
          <w:sz w:val="30"/>
          <w:szCs w:val="30"/>
        </w:rPr>
        <w:t>强调课程内容的实践性和应用性</w:t>
      </w:r>
      <w:r>
        <w:rPr>
          <w:rStyle w:val="NormalCharacter"/>
          <w:rFonts w:ascii="仿宋_GB2312" w:eastAsia="仿宋_GB2312" w:hAnsi="黑体" w:cs="黑体" w:hint="eastAsia"/>
          <w:sz w:val="30"/>
          <w:szCs w:val="30"/>
        </w:rPr>
        <w:t>。课程教学改革注重培养学生树立正确的政治方向、价值取向、学术导向，实现学术力向培养力的转变，做到学术水平与指导水平、教学水平的同步，将学术优势转化为育人优势，提升研究生的综合素质。</w:t>
      </w:r>
    </w:p>
    <w:p w14:paraId="1E9C6409" w14:textId="77777777" w:rsidR="00F605EB" w:rsidRDefault="00E43777">
      <w:pPr>
        <w:pStyle w:val="a5"/>
        <w:spacing w:after="0" w:line="580" w:lineRule="exact"/>
        <w:ind w:firstLineChars="200" w:firstLine="600"/>
        <w:rPr>
          <w:rStyle w:val="NormalCharacter"/>
          <w:rFonts w:ascii="仿宋_GB2312" w:eastAsia="仿宋_GB2312" w:hAnsi="黑体" w:cs="黑体"/>
          <w:sz w:val="30"/>
          <w:szCs w:val="30"/>
        </w:rPr>
      </w:pPr>
      <w:r>
        <w:rPr>
          <w:rStyle w:val="NormalCharacter"/>
          <w:rFonts w:ascii="仿宋_GB2312" w:eastAsia="仿宋_GB2312" w:hAnsi="黑体" w:cs="黑体" w:hint="eastAsia"/>
          <w:sz w:val="30"/>
          <w:szCs w:val="30"/>
        </w:rPr>
        <w:t>通过</w:t>
      </w:r>
      <w:r>
        <w:rPr>
          <w:rStyle w:val="NormalCharacter"/>
          <w:rFonts w:ascii="仿宋_GB2312" w:eastAsia="仿宋_GB2312" w:hAnsi="黑体" w:cs="黑体"/>
          <w:sz w:val="30"/>
          <w:szCs w:val="30"/>
        </w:rPr>
        <w:t>适当调整学位基础课和专业必修课的比例和内容，增加专业选修类课程，加强实践课程的开设，诸如多媒体教学技能训练</w:t>
      </w:r>
      <w:r>
        <w:rPr>
          <w:rStyle w:val="NormalCharacter"/>
          <w:rFonts w:ascii="仿宋_GB2312" w:eastAsia="仿宋_GB2312" w:hAnsi="黑体" w:cs="黑体" w:hint="eastAsia"/>
          <w:sz w:val="30"/>
          <w:szCs w:val="30"/>
        </w:rPr>
        <w:t>，教育硕士学术论坛，</w:t>
      </w:r>
      <w:r>
        <w:rPr>
          <w:rStyle w:val="NormalCharacter"/>
          <w:rFonts w:ascii="仿宋_GB2312" w:eastAsia="仿宋_GB2312" w:hAnsi="黑体" w:cs="黑体"/>
          <w:sz w:val="30"/>
          <w:szCs w:val="30"/>
        </w:rPr>
        <w:t>开展讲课、说课</w:t>
      </w:r>
      <w:r>
        <w:rPr>
          <w:rStyle w:val="NormalCharacter"/>
          <w:rFonts w:ascii="仿宋_GB2312" w:eastAsia="仿宋_GB2312" w:hAnsi="黑体" w:cs="黑体" w:hint="eastAsia"/>
          <w:sz w:val="30"/>
          <w:szCs w:val="30"/>
        </w:rPr>
        <w:t>技能</w:t>
      </w:r>
      <w:r>
        <w:rPr>
          <w:rStyle w:val="NormalCharacter"/>
          <w:rFonts w:ascii="仿宋_GB2312" w:eastAsia="仿宋_GB2312" w:hAnsi="黑体" w:cs="黑体"/>
          <w:sz w:val="30"/>
          <w:szCs w:val="30"/>
        </w:rPr>
        <w:t>大赛，使学生领略</w:t>
      </w:r>
      <w:r>
        <w:rPr>
          <w:rStyle w:val="NormalCharacter"/>
          <w:rFonts w:ascii="仿宋_GB2312" w:eastAsia="仿宋_GB2312" w:hAnsi="黑体" w:cs="黑体" w:hint="eastAsia"/>
          <w:sz w:val="30"/>
          <w:szCs w:val="30"/>
        </w:rPr>
        <w:t>到了</w:t>
      </w:r>
      <w:r>
        <w:rPr>
          <w:rStyle w:val="NormalCharacter"/>
          <w:rFonts w:ascii="仿宋_GB2312" w:eastAsia="仿宋_GB2312" w:hAnsi="黑体" w:cs="黑体"/>
          <w:sz w:val="30"/>
          <w:szCs w:val="30"/>
        </w:rPr>
        <w:t>不同的教学艺术。</w:t>
      </w:r>
      <w:r>
        <w:rPr>
          <w:rStyle w:val="NormalCharacter"/>
          <w:rFonts w:ascii="仿宋_GB2312" w:eastAsia="仿宋_GB2312" w:hAnsi="黑体" w:cs="黑体" w:hint="eastAsia"/>
          <w:sz w:val="30"/>
          <w:szCs w:val="30"/>
        </w:rPr>
        <w:t>通过</w:t>
      </w:r>
      <w:r>
        <w:rPr>
          <w:rStyle w:val="NormalCharacter"/>
          <w:rFonts w:ascii="仿宋_GB2312" w:eastAsia="仿宋_GB2312" w:hAnsi="黑体" w:cs="黑体"/>
          <w:sz w:val="30"/>
          <w:szCs w:val="30"/>
        </w:rPr>
        <w:t>调整纯理论课程的比例和内容，改变课程设置的学术化倾向，课程设置</w:t>
      </w:r>
      <w:r>
        <w:rPr>
          <w:rStyle w:val="NormalCharacter"/>
          <w:rFonts w:ascii="仿宋_GB2312" w:eastAsia="仿宋_GB2312" w:hAnsi="黑体" w:cs="黑体" w:hint="eastAsia"/>
          <w:sz w:val="30"/>
          <w:szCs w:val="30"/>
        </w:rPr>
        <w:t>更是</w:t>
      </w:r>
      <w:r>
        <w:rPr>
          <w:rStyle w:val="NormalCharacter"/>
          <w:rFonts w:ascii="仿宋_GB2312" w:eastAsia="仿宋_GB2312" w:hAnsi="黑体" w:cs="黑体"/>
          <w:sz w:val="30"/>
          <w:szCs w:val="30"/>
        </w:rPr>
        <w:t>以现代教学思想、理念为指导，开设与基础教育师资质量要求相一致的课程。</w:t>
      </w:r>
      <w:r>
        <w:rPr>
          <w:rStyle w:val="NormalCharacter"/>
          <w:rFonts w:ascii="仿宋_GB2312" w:eastAsia="仿宋_GB2312" w:hAnsi="黑体" w:cs="黑体" w:hint="eastAsia"/>
          <w:sz w:val="30"/>
          <w:szCs w:val="30"/>
        </w:rPr>
        <w:t>关注信息化环境下的教学改革，关注学生个性化、多样性的学习和发展需求，结合教师自身经验，开展模块化教学</w:t>
      </w:r>
      <w:r>
        <w:rPr>
          <w:rStyle w:val="NormalCharacter"/>
          <w:rFonts w:ascii="仿宋_GB2312" w:eastAsia="仿宋_GB2312" w:hAnsi="黑体" w:cs="黑体"/>
          <w:sz w:val="30"/>
          <w:szCs w:val="30"/>
        </w:rPr>
        <w:t>课程</w:t>
      </w:r>
      <w:r>
        <w:rPr>
          <w:rStyle w:val="NormalCharacter"/>
          <w:rFonts w:ascii="仿宋_GB2312" w:eastAsia="仿宋_GB2312" w:hAnsi="黑体" w:cs="黑体" w:hint="eastAsia"/>
          <w:sz w:val="30"/>
          <w:szCs w:val="30"/>
        </w:rPr>
        <w:t>，从而</w:t>
      </w:r>
      <w:r>
        <w:rPr>
          <w:rStyle w:val="NormalCharacter"/>
          <w:rFonts w:ascii="仿宋_GB2312" w:eastAsia="仿宋_GB2312" w:hAnsi="黑体" w:cs="黑体"/>
          <w:sz w:val="30"/>
          <w:szCs w:val="30"/>
        </w:rPr>
        <w:t>加强实践教学课程内容与学生生活和现实社会的联系，让实践教学课程增添时代的源泉和生活的动力。</w:t>
      </w:r>
    </w:p>
    <w:p w14:paraId="70B679B2" w14:textId="77777777" w:rsidR="00F605EB" w:rsidRDefault="00E43777">
      <w:pPr>
        <w:pStyle w:val="3"/>
        <w:spacing w:line="580" w:lineRule="exact"/>
        <w:ind w:firstLine="602"/>
        <w:rPr>
          <w:rStyle w:val="NormalCharacter"/>
          <w:rFonts w:ascii="仿宋_GB2312" w:eastAsia="仿宋_GB2312" w:hAnsi="黑体" w:cs="黑体"/>
          <w:b/>
          <w:color w:val="auto"/>
          <w:sz w:val="30"/>
          <w:szCs w:val="30"/>
        </w:rPr>
      </w:pPr>
      <w:r>
        <w:rPr>
          <w:rStyle w:val="NormalCharacter"/>
          <w:rFonts w:ascii="仿宋_GB2312" w:eastAsia="仿宋_GB2312" w:hAnsi="黑体" w:cs="黑体" w:hint="eastAsia"/>
          <w:b/>
          <w:color w:val="auto"/>
          <w:sz w:val="30"/>
          <w:szCs w:val="30"/>
        </w:rPr>
        <w:t>（二）</w:t>
      </w:r>
      <w:r>
        <w:rPr>
          <w:rStyle w:val="NormalCharacter"/>
          <w:rFonts w:ascii="仿宋_GB2312" w:eastAsia="仿宋_GB2312" w:hAnsi="黑体" w:cs="黑体"/>
          <w:b/>
          <w:color w:val="auto"/>
          <w:sz w:val="30"/>
          <w:szCs w:val="30"/>
        </w:rPr>
        <w:t>导师选拔培训</w:t>
      </w:r>
    </w:p>
    <w:p w14:paraId="236785FF" w14:textId="77777777" w:rsidR="00F605EB" w:rsidRDefault="00E43777">
      <w:pPr>
        <w:spacing w:line="580" w:lineRule="exact"/>
        <w:ind w:firstLineChars="200" w:firstLine="600"/>
        <w:rPr>
          <w:rStyle w:val="NormalCharacter"/>
          <w:rFonts w:ascii="仿宋_GB2312" w:eastAsia="仿宋_GB2312" w:hAnsi="黑体" w:cs="黑体"/>
          <w:sz w:val="30"/>
          <w:szCs w:val="30"/>
        </w:rPr>
      </w:pPr>
      <w:r>
        <w:rPr>
          <w:rStyle w:val="NormalCharacter"/>
          <w:rFonts w:ascii="仿宋_GB2312" w:eastAsia="仿宋_GB2312" w:hAnsi="黑体" w:cs="黑体"/>
          <w:sz w:val="30"/>
          <w:szCs w:val="30"/>
        </w:rPr>
        <w:t>在导师队伍的选聘、培训、考核上严格要求。依照《江西科技师范大学硕士研究生指导教师管理办法（试行）》赣科大研字【2015】12号、《江西科技师范大学硕士学位授权点管理办法（试</w:t>
      </w:r>
      <w:r>
        <w:rPr>
          <w:rStyle w:val="NormalCharacter"/>
          <w:rFonts w:ascii="仿宋_GB2312" w:eastAsia="仿宋_GB2312" w:hAnsi="黑体" w:cs="黑体"/>
          <w:sz w:val="30"/>
          <w:szCs w:val="30"/>
        </w:rPr>
        <w:lastRenderedPageBreak/>
        <w:t>行）》赣科大研字【2021】14号等文件精神要求，严格开展导师的选聘、培训与考核工作。2021年，学位点</w:t>
      </w:r>
      <w:r>
        <w:rPr>
          <w:rStyle w:val="NormalCharacter"/>
          <w:rFonts w:ascii="仿宋_GB2312" w:eastAsia="仿宋_GB2312" w:hAnsi="黑体" w:cs="黑体" w:hint="eastAsia"/>
          <w:sz w:val="30"/>
          <w:szCs w:val="30"/>
        </w:rPr>
        <w:t>加强硕导队伍建设，严格遵守校、院两级的导师选聘办法，严格导师遴选，2021年本学位点严格导师遴选，重新确定教育硕士研究生导师共260人。</w:t>
      </w:r>
    </w:p>
    <w:p w14:paraId="558C4381" w14:textId="77777777" w:rsidR="00F605EB" w:rsidRDefault="00E43777">
      <w:pPr>
        <w:spacing w:line="580" w:lineRule="exact"/>
        <w:ind w:firstLineChars="200" w:firstLine="602"/>
        <w:rPr>
          <w:rStyle w:val="NormalCharacter"/>
          <w:rFonts w:ascii="仿宋_GB2312" w:eastAsia="仿宋_GB2312" w:hAnsi="黑体" w:cs="黑体"/>
          <w:b/>
          <w:sz w:val="30"/>
          <w:szCs w:val="30"/>
        </w:rPr>
      </w:pPr>
      <w:r>
        <w:rPr>
          <w:rStyle w:val="NormalCharacter"/>
          <w:rFonts w:ascii="仿宋_GB2312" w:eastAsia="仿宋_GB2312" w:hAnsi="黑体" w:cs="黑体" w:hint="eastAsia"/>
          <w:b/>
          <w:sz w:val="30"/>
          <w:szCs w:val="30"/>
        </w:rPr>
        <w:t>（三）</w:t>
      </w:r>
      <w:r>
        <w:rPr>
          <w:rStyle w:val="NormalCharacter"/>
          <w:rFonts w:ascii="仿宋_GB2312" w:eastAsia="仿宋_GB2312" w:hAnsi="黑体" w:cs="黑体"/>
          <w:b/>
          <w:sz w:val="30"/>
          <w:szCs w:val="30"/>
        </w:rPr>
        <w:t>师德师风建设情况</w:t>
      </w:r>
    </w:p>
    <w:p w14:paraId="01068ABA" w14:textId="77777777" w:rsidR="00F605EB" w:rsidRDefault="00E43777">
      <w:pPr>
        <w:spacing w:line="580" w:lineRule="exact"/>
        <w:ind w:firstLineChars="200" w:firstLine="600"/>
        <w:rPr>
          <w:rStyle w:val="NormalCharacter"/>
          <w:rFonts w:ascii="仿宋_GB2312" w:eastAsia="仿宋_GB2312" w:hAnsi="黑体" w:cs="黑体"/>
          <w:sz w:val="30"/>
          <w:szCs w:val="30"/>
        </w:rPr>
      </w:pPr>
      <w:r>
        <w:rPr>
          <w:rStyle w:val="NormalCharacter"/>
          <w:rFonts w:ascii="仿宋_GB2312" w:eastAsia="仿宋_GB2312" w:hAnsi="黑体" w:cs="黑体" w:hint="eastAsia"/>
          <w:sz w:val="30"/>
          <w:szCs w:val="30"/>
        </w:rPr>
        <w:t>本学位点以习近平总书记关于师德师风建设的重要讲话精神为根本遵循，以“内强素质、外塑形象”为主要目标，坚持“外延展、内联动”的工作思路，不断完善师德师风建设长效机制，主要举措有：</w:t>
      </w:r>
    </w:p>
    <w:p w14:paraId="7304B365" w14:textId="77777777" w:rsidR="00F605EB" w:rsidRDefault="00E43777">
      <w:pPr>
        <w:spacing w:line="580" w:lineRule="exact"/>
        <w:ind w:firstLineChars="200" w:firstLine="600"/>
        <w:rPr>
          <w:rStyle w:val="NormalCharacter"/>
          <w:rFonts w:ascii="仿宋_GB2312" w:eastAsia="仿宋_GB2312" w:hAnsi="黑体" w:cs="黑体"/>
          <w:sz w:val="30"/>
          <w:szCs w:val="30"/>
        </w:rPr>
      </w:pPr>
      <w:r>
        <w:rPr>
          <w:rStyle w:val="NormalCharacter"/>
          <w:rFonts w:ascii="仿宋_GB2312" w:eastAsia="仿宋_GB2312" w:hAnsi="黑体" w:cs="黑体" w:hint="eastAsia"/>
          <w:sz w:val="30"/>
          <w:szCs w:val="30"/>
        </w:rPr>
        <w:t>1.强化党建引领，注重思想铸魂，将提高思想政治素质放到首要位置。坚持和完善每周二下午的教师理论学习制度，建立理论学习系统化、常态化机制。注重理论与实践相结合，引导教师在了解社会、服务社会的过程中，增进对中国特色社会主义的政治认同、思想认同、理论认同、情感认同。推进教师党组织标准化、规范化建设，推进教师党支部“双高示范”工程，使基层党组织和党员教师示范引领作用落实落地。</w:t>
      </w:r>
    </w:p>
    <w:p w14:paraId="166321E1" w14:textId="77777777" w:rsidR="00F605EB" w:rsidRDefault="00E43777">
      <w:pPr>
        <w:spacing w:line="580" w:lineRule="exact"/>
        <w:ind w:firstLineChars="200" w:firstLine="600"/>
        <w:rPr>
          <w:rStyle w:val="NormalCharacter"/>
          <w:rFonts w:ascii="仿宋_GB2312" w:eastAsia="仿宋_GB2312" w:hAnsi="黑体" w:cs="黑体"/>
          <w:sz w:val="30"/>
          <w:szCs w:val="30"/>
        </w:rPr>
      </w:pPr>
      <w:r>
        <w:rPr>
          <w:rStyle w:val="NormalCharacter"/>
          <w:rFonts w:ascii="仿宋_GB2312" w:eastAsia="仿宋_GB2312" w:hAnsi="黑体" w:cs="黑体" w:hint="eastAsia"/>
          <w:sz w:val="30"/>
          <w:szCs w:val="30"/>
        </w:rPr>
        <w:t>2.强化教育引导，注重价值导向，将全方位构建师德师风教育体系纳入管理规程。建立和健全师德师风考核制度，形成课堂育德、典型树德、规则立德机制。注重师德涵养与教育教学工作、立德树人实践结合，注重优秀教师宣传活动，发挥身边的人、身边的事的示范和带动作用。加强法治教育，强化警示教育，使全体教师的法治素养、规则意识自觉转化为依法执教、规范执教能力。</w:t>
      </w:r>
    </w:p>
    <w:p w14:paraId="7417813D" w14:textId="77777777" w:rsidR="00F605EB" w:rsidRDefault="00E43777">
      <w:pPr>
        <w:spacing w:line="580" w:lineRule="exact"/>
        <w:ind w:firstLineChars="200" w:firstLine="600"/>
        <w:rPr>
          <w:rStyle w:val="NormalCharacter"/>
          <w:rFonts w:ascii="仿宋_GB2312" w:eastAsia="仿宋_GB2312" w:hAnsi="黑体" w:cs="黑体"/>
          <w:sz w:val="30"/>
          <w:szCs w:val="30"/>
        </w:rPr>
      </w:pPr>
      <w:r>
        <w:rPr>
          <w:rStyle w:val="NormalCharacter"/>
          <w:rFonts w:ascii="仿宋_GB2312" w:eastAsia="仿宋_GB2312" w:hAnsi="黑体" w:cs="黑体" w:hint="eastAsia"/>
          <w:sz w:val="30"/>
          <w:szCs w:val="30"/>
        </w:rPr>
        <w:t>3.强化日常管理，注重考核评价，将师德师风要求融入教师</w:t>
      </w:r>
      <w:r>
        <w:rPr>
          <w:rStyle w:val="NormalCharacter"/>
          <w:rFonts w:ascii="仿宋_GB2312" w:eastAsia="仿宋_GB2312" w:hAnsi="黑体" w:cs="黑体" w:hint="eastAsia"/>
          <w:sz w:val="30"/>
          <w:szCs w:val="30"/>
        </w:rPr>
        <w:lastRenderedPageBreak/>
        <w:t>管理各环节。贯彻“四严（严格招聘引进、严格考核评价、严格师德督导、严格违规惩处）”要求，形成师德师风建设 “做在日常、严在日常” 工作态势，在教师的招聘引进、考核评价、日常监督与违规惩处等方面，突出师德师风第一标准。在岗位聘任、职称晋升、评优评选、项目推荐中，实施师德师风“一票否决”</w:t>
      </w:r>
      <w:r w:rsidR="008D2C63">
        <w:rPr>
          <w:rStyle w:val="NormalCharacter"/>
          <w:rFonts w:ascii="仿宋_GB2312" w:eastAsia="仿宋_GB2312" w:hAnsi="黑体" w:cs="黑体" w:hint="eastAsia"/>
          <w:sz w:val="30"/>
          <w:szCs w:val="30"/>
        </w:rPr>
        <w:t>。</w:t>
      </w:r>
    </w:p>
    <w:p w14:paraId="44C5EC75" w14:textId="77777777" w:rsidR="00F605EB" w:rsidRDefault="00E43777">
      <w:pPr>
        <w:pStyle w:val="3"/>
        <w:spacing w:line="580" w:lineRule="exact"/>
        <w:ind w:firstLine="602"/>
        <w:rPr>
          <w:rStyle w:val="NormalCharacter"/>
          <w:rFonts w:ascii="仿宋_GB2312" w:eastAsia="仿宋_GB2312" w:hAnsi="黑体" w:cs="黑体"/>
          <w:b/>
          <w:color w:val="auto"/>
          <w:sz w:val="30"/>
          <w:szCs w:val="30"/>
        </w:rPr>
      </w:pPr>
      <w:r>
        <w:rPr>
          <w:rStyle w:val="NormalCharacter"/>
          <w:rFonts w:ascii="仿宋_GB2312" w:eastAsia="仿宋_GB2312" w:hAnsi="黑体" w:cs="黑体" w:hint="eastAsia"/>
          <w:b/>
          <w:color w:val="auto"/>
          <w:sz w:val="30"/>
          <w:szCs w:val="30"/>
        </w:rPr>
        <w:t>（四）</w:t>
      </w:r>
      <w:r>
        <w:rPr>
          <w:rStyle w:val="NormalCharacter"/>
          <w:rFonts w:ascii="仿宋_GB2312" w:eastAsia="仿宋_GB2312" w:hAnsi="黑体" w:cs="黑体"/>
          <w:b/>
          <w:color w:val="auto"/>
          <w:sz w:val="30"/>
          <w:szCs w:val="30"/>
        </w:rPr>
        <w:t>学术训练情况</w:t>
      </w:r>
    </w:p>
    <w:p w14:paraId="780D2289" w14:textId="77777777" w:rsidR="00F605EB" w:rsidRDefault="00E43777">
      <w:pPr>
        <w:widowControl/>
        <w:spacing w:line="580" w:lineRule="exact"/>
        <w:ind w:firstLineChars="200" w:firstLine="600"/>
        <w:rPr>
          <w:rStyle w:val="NormalCharacter"/>
          <w:rFonts w:ascii="仿宋_GB2312" w:eastAsia="仿宋_GB2312" w:hAnsi="黑体" w:cs="黑体"/>
          <w:sz w:val="30"/>
        </w:rPr>
      </w:pPr>
      <w:r>
        <w:rPr>
          <w:rStyle w:val="NormalCharacter"/>
          <w:rFonts w:ascii="仿宋_GB2312" w:eastAsia="仿宋_GB2312" w:hAnsi="黑体" w:cs="黑体" w:hint="eastAsia"/>
          <w:sz w:val="30"/>
          <w:szCs w:val="30"/>
        </w:rPr>
        <w:t>1.以</w:t>
      </w:r>
      <w:r>
        <w:rPr>
          <w:rStyle w:val="NormalCharacter"/>
          <w:rFonts w:ascii="仿宋_GB2312" w:eastAsia="仿宋_GB2312" w:hAnsi="黑体" w:cs="黑体" w:hint="eastAsia"/>
          <w:sz w:val="30"/>
        </w:rPr>
        <w:t>实践基地为平台，提高学生综合素养。作为高校与行业、企业共同建立的人才培养平台，是高校与行业、企业开展产学研合作的重要载体，也是专业学位研究生进行专业实践的主要场所，更是提高专业学位研究生创新能力、实践能力和综合素质的重要途径。教育学部积极与丰城市教师进修学校、新建三中、抚州市老年大学等单位建立合作共同体，建立教育类研究生实践实习基地，不断优化研究生人才培养质量。外国语学院学科教学（英语）专业在校内实训场所建设颇有成效，设有微格教室15间，三笔字实训室1间，课程录播室1间；旅游学院在校外实习基地建设上有所建树，在南昌市及周边建立了20个实践基地，与靖安县教育体育局、常熟虞山饭店有限公司、江西省龙虎山旅游文化发展有限公司、江西工业贸易职业学院、江西旅游商贸职业学院等单位建立了实践合作关系，为职业技术教育硕士研究生提供了良好的实践平台。</w:t>
      </w:r>
    </w:p>
    <w:p w14:paraId="2AF2E066" w14:textId="77777777" w:rsidR="00F605EB" w:rsidRDefault="00E43777">
      <w:pPr>
        <w:spacing w:line="580" w:lineRule="exact"/>
        <w:ind w:firstLineChars="200" w:firstLine="600"/>
        <w:rPr>
          <w:rStyle w:val="NormalCharacter"/>
          <w:rFonts w:ascii="仿宋_GB2312" w:eastAsia="仿宋_GB2312" w:hAnsi="黑体" w:cs="黑体"/>
          <w:sz w:val="30"/>
        </w:rPr>
      </w:pPr>
      <w:r>
        <w:rPr>
          <w:rStyle w:val="NormalCharacter"/>
          <w:rFonts w:ascii="仿宋_GB2312" w:eastAsia="仿宋_GB2312" w:hAnsi="黑体" w:cs="黑体" w:hint="eastAsia"/>
          <w:sz w:val="30"/>
        </w:rPr>
        <w:t>2. 以“</w:t>
      </w:r>
      <w:r w:rsidR="008D2C63">
        <w:rPr>
          <w:rStyle w:val="NormalCharacter"/>
          <w:rFonts w:ascii="仿宋_GB2312" w:eastAsia="仿宋_GB2312" w:hAnsi="黑体" w:cs="黑体" w:hint="eastAsia"/>
          <w:sz w:val="30"/>
        </w:rPr>
        <w:t>项目研究”为驱动，培养学生实践能力。基于“项目学习”的理念——</w:t>
      </w:r>
      <w:r>
        <w:rPr>
          <w:rStyle w:val="NormalCharacter"/>
          <w:rFonts w:ascii="仿宋_GB2312" w:eastAsia="仿宋_GB2312" w:hAnsi="黑体" w:cs="黑体" w:hint="eastAsia"/>
          <w:sz w:val="30"/>
        </w:rPr>
        <w:t>要求学生从事的是问题解决，基于现实世界的探究活动以</w:t>
      </w:r>
      <w:r w:rsidR="008D2C63">
        <w:rPr>
          <w:rStyle w:val="NormalCharacter"/>
          <w:rFonts w:ascii="仿宋_GB2312" w:eastAsia="仿宋_GB2312" w:hAnsi="黑体" w:cs="黑体" w:hint="eastAsia"/>
          <w:sz w:val="30"/>
        </w:rPr>
        <w:t>及其他的一些有意义的工作，并通过制作作品完成自己知识意义的建构</w:t>
      </w:r>
      <w:r>
        <w:rPr>
          <w:rStyle w:val="NormalCharacter"/>
          <w:rFonts w:ascii="仿宋_GB2312" w:eastAsia="仿宋_GB2312" w:hAnsi="黑体" w:cs="黑体" w:hint="eastAsia"/>
          <w:sz w:val="30"/>
        </w:rPr>
        <w:t>，每年面对全校硕士研究生发布创新项目，</w:t>
      </w:r>
      <w:r>
        <w:rPr>
          <w:rStyle w:val="NormalCharacter"/>
          <w:rFonts w:ascii="仿宋_GB2312" w:eastAsia="仿宋_GB2312" w:hAnsi="黑体" w:cs="黑体" w:hint="eastAsia"/>
          <w:sz w:val="30"/>
        </w:rPr>
        <w:lastRenderedPageBreak/>
        <w:t>要求教育硕士基于教育实践问题开展相关研究，切实解决教育实践中问题，实现教研为社会服务的目的。从学校教育硕士立项数量看，教育硕士参与创新项目申报的兴趣不断提升，立项率始终占全校立项项目总数的1/7</w:t>
      </w:r>
      <w:r w:rsidR="008D2C63">
        <w:rPr>
          <w:rStyle w:val="NormalCharacter"/>
          <w:rFonts w:ascii="仿宋_GB2312" w:eastAsia="仿宋_GB2312" w:hAnsi="黑体" w:cs="黑体" w:hint="eastAsia"/>
          <w:sz w:val="30"/>
        </w:rPr>
        <w:t>以上</w:t>
      </w:r>
      <w:r>
        <w:rPr>
          <w:rStyle w:val="NormalCharacter"/>
          <w:rFonts w:ascii="仿宋_GB2312" w:eastAsia="仿宋_GB2312" w:hAnsi="黑体" w:cs="黑体" w:hint="eastAsia"/>
          <w:sz w:val="30"/>
        </w:rPr>
        <w:t>，极大丰富了教育硕士的实践教学方式。</w:t>
      </w:r>
    </w:p>
    <w:p w14:paraId="429781FF" w14:textId="77777777" w:rsidR="00F605EB" w:rsidRDefault="00E43777">
      <w:pPr>
        <w:spacing w:line="580" w:lineRule="exact"/>
        <w:ind w:firstLineChars="200" w:firstLine="600"/>
        <w:rPr>
          <w:rStyle w:val="NormalCharacter"/>
          <w:rFonts w:ascii="仿宋_GB2312" w:eastAsia="仿宋_GB2312" w:hAnsi="黑体" w:cs="黑体"/>
          <w:sz w:val="30"/>
          <w:szCs w:val="30"/>
        </w:rPr>
      </w:pPr>
      <w:r>
        <w:rPr>
          <w:rStyle w:val="NormalCharacter"/>
          <w:rFonts w:ascii="仿宋_GB2312" w:eastAsia="仿宋_GB2312" w:hAnsi="黑体" w:cs="黑体" w:hint="eastAsia"/>
          <w:sz w:val="30"/>
          <w:szCs w:val="30"/>
        </w:rPr>
        <w:t>3.为促进教育学部硕士研究生学术交流，加强硕士研究生学术活动建设，出台了《江西科技师范大学教育学部硕士研究生学术论坛实施与管理办法（试行）》。根据该办法，</w:t>
      </w:r>
      <w:r w:rsidR="008D2C63">
        <w:rPr>
          <w:rStyle w:val="NormalCharacter"/>
          <w:rFonts w:ascii="仿宋_GB2312" w:eastAsia="仿宋_GB2312" w:hAnsi="黑体" w:cs="黑体" w:hint="eastAsia"/>
          <w:sz w:val="30"/>
          <w:szCs w:val="30"/>
        </w:rPr>
        <w:t>教育学部</w:t>
      </w:r>
      <w:r>
        <w:rPr>
          <w:rStyle w:val="NormalCharacter"/>
          <w:rFonts w:ascii="仿宋_GB2312" w:eastAsia="仿宋_GB2312" w:hAnsi="黑体" w:cs="黑体" w:hint="eastAsia"/>
          <w:sz w:val="30"/>
          <w:szCs w:val="30"/>
        </w:rPr>
        <w:t>举办了教育领域首届研究生学术论坛，论坛共收到教育类研究生学术论文105篇，经校外专家评审，一等奖9篇，二等奖14篇，三等奖25篇，论坛报告分主论坛和4个平行分论坛。主论坛在学校图书馆950举行，校长出席主论坛并致辞，校内外5名专家做主题报告；平行分论坛在教育学部分四个会场同步进行，由获奖研究生做学术交流。本次论坛氛围之浓开启了研究生学术训练新前景。</w:t>
      </w:r>
    </w:p>
    <w:p w14:paraId="4962DE6A" w14:textId="77777777" w:rsidR="00F605EB" w:rsidRDefault="00E43777">
      <w:pPr>
        <w:spacing w:line="580" w:lineRule="exact"/>
        <w:ind w:firstLineChars="200" w:firstLine="600"/>
        <w:rPr>
          <w:rStyle w:val="NormalCharacter"/>
          <w:rFonts w:ascii="仿宋_GB2312" w:eastAsia="仿宋_GB2312" w:hAnsi="黑体" w:cs="黑体"/>
          <w:sz w:val="30"/>
          <w:szCs w:val="30"/>
        </w:rPr>
      </w:pPr>
      <w:r>
        <w:rPr>
          <w:rStyle w:val="NormalCharacter"/>
          <w:rFonts w:ascii="仿宋_GB2312" w:eastAsia="仿宋_GB2312" w:hAnsi="黑体" w:cs="黑体" w:hint="eastAsia"/>
          <w:sz w:val="30"/>
          <w:szCs w:val="30"/>
        </w:rPr>
        <w:t>4.为营造浓厚的学术氛围，举办线上线下等多种形式学术讲座共计10场（如表1所示），邀请了来自北京大学、北京师范大学、南开大学等院校教授及杂志主编等共10人做主题报告，受到师生们的一致好评。</w:t>
      </w:r>
    </w:p>
    <w:p w14:paraId="70FB6CFC" w14:textId="77777777" w:rsidR="00F605EB" w:rsidRDefault="00E43777">
      <w:pPr>
        <w:spacing w:line="580" w:lineRule="exact"/>
        <w:ind w:firstLineChars="200" w:firstLine="600"/>
        <w:rPr>
          <w:rFonts w:ascii="仿宋_GB2312" w:eastAsia="仿宋_GB2312" w:hAnsi="黑体" w:cs="黑体"/>
          <w:sz w:val="30"/>
        </w:rPr>
      </w:pPr>
      <w:r>
        <w:rPr>
          <w:rStyle w:val="NormalCharacter"/>
          <w:rFonts w:ascii="仿宋_GB2312" w:eastAsia="仿宋_GB2312" w:hAnsi="黑体" w:cs="黑体" w:hint="eastAsia"/>
          <w:sz w:val="30"/>
        </w:rPr>
        <w:t>5.以竞赛促进教育硕士实践能力提升。竞赛在一定程度上来看，是对实践教学的一种补充，更是理论教学的一种延伸。各培养单位鼓励教育硕士参加各类竞赛，配备专门的老师对学生进行相关指导和培训，在各类竞赛中获得了丰硕的成果。例如，近三年来，学科教学（外语）学生共获学科竞赛奖49项，其中省级</w:t>
      </w:r>
      <w:r>
        <w:rPr>
          <w:rStyle w:val="NormalCharacter"/>
          <w:rFonts w:ascii="仿宋_GB2312" w:eastAsia="仿宋_GB2312" w:hAnsi="黑体" w:cs="黑体" w:hint="eastAsia"/>
          <w:sz w:val="30"/>
        </w:rPr>
        <w:lastRenderedPageBreak/>
        <w:t>一、二、三等奖15项，论文获省级奖3项。</w:t>
      </w:r>
    </w:p>
    <w:p w14:paraId="7890EFA3" w14:textId="77777777" w:rsidR="00F605EB" w:rsidRDefault="00E43777">
      <w:pPr>
        <w:pStyle w:val="3"/>
        <w:ind w:firstLine="562"/>
        <w:jc w:val="center"/>
        <w:rPr>
          <w:rFonts w:ascii="仿宋" w:eastAsia="仿宋" w:hAnsi="仿宋" w:cs="仿宋"/>
          <w:b/>
          <w:kern w:val="0"/>
          <w:sz w:val="28"/>
          <w:szCs w:val="28"/>
          <w:shd w:val="clear" w:color="auto" w:fill="FFFFFF"/>
        </w:rPr>
      </w:pPr>
      <w:r>
        <w:rPr>
          <w:rFonts w:ascii="仿宋" w:eastAsia="仿宋" w:hAnsi="仿宋" w:cs="仿宋" w:hint="eastAsia"/>
          <w:b/>
          <w:kern w:val="0"/>
          <w:sz w:val="28"/>
          <w:szCs w:val="28"/>
          <w:shd w:val="clear" w:color="auto" w:fill="FFFFFF"/>
        </w:rPr>
        <w:t>表1.学术讲座情况一览表</w:t>
      </w:r>
    </w:p>
    <w:tbl>
      <w:tblPr>
        <w:tblStyle w:val="af2"/>
        <w:tblW w:w="8755" w:type="dxa"/>
        <w:tblLayout w:type="fixed"/>
        <w:tblLook w:val="04A0" w:firstRow="1" w:lastRow="0" w:firstColumn="1" w:lastColumn="0" w:noHBand="0" w:noVBand="1"/>
      </w:tblPr>
      <w:tblGrid>
        <w:gridCol w:w="817"/>
        <w:gridCol w:w="3443"/>
        <w:gridCol w:w="2652"/>
        <w:gridCol w:w="1843"/>
      </w:tblGrid>
      <w:tr w:rsidR="00F605EB" w14:paraId="2F9D22E9" w14:textId="77777777">
        <w:tc>
          <w:tcPr>
            <w:tcW w:w="817" w:type="dxa"/>
            <w:vAlign w:val="center"/>
          </w:tcPr>
          <w:p w14:paraId="6B463639" w14:textId="77777777" w:rsidR="00F605EB" w:rsidRDefault="00E43777">
            <w:pPr>
              <w:pStyle w:val="3"/>
              <w:spacing w:line="240" w:lineRule="auto"/>
              <w:ind w:firstLineChars="0" w:firstLine="0"/>
              <w:jc w:val="center"/>
              <w:outlineLvl w:val="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序号</w:t>
            </w:r>
          </w:p>
        </w:tc>
        <w:tc>
          <w:tcPr>
            <w:tcW w:w="3443" w:type="dxa"/>
            <w:vAlign w:val="center"/>
          </w:tcPr>
          <w:p w14:paraId="7F9B2C34" w14:textId="77777777" w:rsidR="00F605EB" w:rsidRDefault="00E43777">
            <w:pPr>
              <w:pStyle w:val="3"/>
              <w:spacing w:line="240" w:lineRule="auto"/>
              <w:ind w:firstLineChars="0" w:firstLine="0"/>
              <w:jc w:val="center"/>
              <w:outlineLvl w:val="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主讲人</w:t>
            </w:r>
          </w:p>
        </w:tc>
        <w:tc>
          <w:tcPr>
            <w:tcW w:w="2652" w:type="dxa"/>
            <w:vAlign w:val="center"/>
          </w:tcPr>
          <w:p w14:paraId="7EFBBEB3" w14:textId="77777777" w:rsidR="00F605EB" w:rsidRDefault="00E43777">
            <w:pPr>
              <w:pStyle w:val="3"/>
              <w:spacing w:line="240" w:lineRule="auto"/>
              <w:ind w:firstLineChars="0" w:firstLine="0"/>
              <w:jc w:val="center"/>
              <w:outlineLvl w:val="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报告题目</w:t>
            </w:r>
          </w:p>
        </w:tc>
        <w:tc>
          <w:tcPr>
            <w:tcW w:w="1843" w:type="dxa"/>
            <w:vAlign w:val="center"/>
          </w:tcPr>
          <w:p w14:paraId="1ACFC3F4" w14:textId="77777777" w:rsidR="00F605EB" w:rsidRDefault="00E43777">
            <w:pPr>
              <w:pStyle w:val="3"/>
              <w:spacing w:line="240" w:lineRule="auto"/>
              <w:ind w:firstLineChars="0" w:firstLine="0"/>
              <w:jc w:val="center"/>
              <w:outlineLvl w:val="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时间（2021年）</w:t>
            </w:r>
          </w:p>
        </w:tc>
      </w:tr>
      <w:tr w:rsidR="00F605EB" w14:paraId="47A7460C" w14:textId="77777777">
        <w:tc>
          <w:tcPr>
            <w:tcW w:w="817" w:type="dxa"/>
            <w:vAlign w:val="center"/>
          </w:tcPr>
          <w:p w14:paraId="3A51121F"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p>
        </w:tc>
        <w:tc>
          <w:tcPr>
            <w:tcW w:w="3443" w:type="dxa"/>
            <w:vAlign w:val="center"/>
          </w:tcPr>
          <w:p w14:paraId="5331020E"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bCs/>
                <w:color w:val="333333"/>
                <w:kern w:val="0"/>
                <w:sz w:val="24"/>
                <w:szCs w:val="24"/>
              </w:rPr>
              <w:t>南昌大学黄厚明教授</w:t>
            </w:r>
          </w:p>
        </w:tc>
        <w:tc>
          <w:tcPr>
            <w:tcW w:w="2652" w:type="dxa"/>
            <w:vAlign w:val="center"/>
          </w:tcPr>
          <w:p w14:paraId="1A28C847"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color w:val="555555"/>
                <w:kern w:val="0"/>
                <w:sz w:val="24"/>
                <w:szCs w:val="24"/>
              </w:rPr>
              <w:t>《文献阅读与研究生开题》</w:t>
            </w:r>
          </w:p>
        </w:tc>
        <w:tc>
          <w:tcPr>
            <w:tcW w:w="1843" w:type="dxa"/>
            <w:vAlign w:val="center"/>
          </w:tcPr>
          <w:p w14:paraId="29980291"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12月12日</w:t>
            </w:r>
          </w:p>
        </w:tc>
      </w:tr>
      <w:tr w:rsidR="00F605EB" w14:paraId="7D7D0CC7" w14:textId="77777777">
        <w:tc>
          <w:tcPr>
            <w:tcW w:w="817" w:type="dxa"/>
            <w:vAlign w:val="center"/>
          </w:tcPr>
          <w:p w14:paraId="77371E3C"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w:t>
            </w:r>
          </w:p>
        </w:tc>
        <w:tc>
          <w:tcPr>
            <w:tcW w:w="3443" w:type="dxa"/>
            <w:vAlign w:val="center"/>
          </w:tcPr>
          <w:p w14:paraId="188FE8DF"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color w:val="555555"/>
                <w:kern w:val="0"/>
                <w:sz w:val="24"/>
                <w:szCs w:val="24"/>
              </w:rPr>
              <w:t>北京大学中国教育财政科学研究所研究员田志磊</w:t>
            </w:r>
          </w:p>
        </w:tc>
        <w:tc>
          <w:tcPr>
            <w:tcW w:w="2652" w:type="dxa"/>
            <w:vAlign w:val="center"/>
          </w:tcPr>
          <w:p w14:paraId="63E57D44"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color w:val="555555"/>
                <w:kern w:val="0"/>
                <w:sz w:val="24"/>
                <w:szCs w:val="24"/>
              </w:rPr>
              <w:t>《大数据时代的教育实证研究》</w:t>
            </w:r>
          </w:p>
        </w:tc>
        <w:tc>
          <w:tcPr>
            <w:tcW w:w="1843" w:type="dxa"/>
            <w:vAlign w:val="center"/>
          </w:tcPr>
          <w:p w14:paraId="760373C4"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11月23日</w:t>
            </w:r>
          </w:p>
        </w:tc>
      </w:tr>
      <w:tr w:rsidR="00F605EB" w14:paraId="466CA8DB" w14:textId="77777777">
        <w:tc>
          <w:tcPr>
            <w:tcW w:w="817" w:type="dxa"/>
            <w:vAlign w:val="center"/>
          </w:tcPr>
          <w:p w14:paraId="416021C2"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3</w:t>
            </w:r>
          </w:p>
        </w:tc>
        <w:tc>
          <w:tcPr>
            <w:tcW w:w="3443" w:type="dxa"/>
            <w:vAlign w:val="center"/>
          </w:tcPr>
          <w:p w14:paraId="1FFBE5DF"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color w:val="555555"/>
                <w:kern w:val="0"/>
                <w:sz w:val="24"/>
                <w:szCs w:val="24"/>
              </w:rPr>
              <w:t>《远程教育杂志》主编陶侃教授</w:t>
            </w:r>
          </w:p>
        </w:tc>
        <w:tc>
          <w:tcPr>
            <w:tcW w:w="2652" w:type="dxa"/>
            <w:vAlign w:val="center"/>
          </w:tcPr>
          <w:p w14:paraId="1DAE600D"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color w:val="555555"/>
                <w:kern w:val="0"/>
                <w:sz w:val="24"/>
                <w:szCs w:val="24"/>
              </w:rPr>
              <w:t>《计算时代的研究选题与学术规范——兼谈智能+新技术的发展》</w:t>
            </w:r>
          </w:p>
        </w:tc>
        <w:tc>
          <w:tcPr>
            <w:tcW w:w="1843" w:type="dxa"/>
            <w:vAlign w:val="center"/>
          </w:tcPr>
          <w:p w14:paraId="45A78380"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11月2日</w:t>
            </w:r>
          </w:p>
        </w:tc>
      </w:tr>
      <w:tr w:rsidR="00F605EB" w14:paraId="23CC8DAB" w14:textId="77777777">
        <w:tc>
          <w:tcPr>
            <w:tcW w:w="817" w:type="dxa"/>
            <w:vAlign w:val="center"/>
          </w:tcPr>
          <w:p w14:paraId="5196ADDA"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4</w:t>
            </w:r>
          </w:p>
        </w:tc>
        <w:tc>
          <w:tcPr>
            <w:tcW w:w="3443" w:type="dxa"/>
            <w:vAlign w:val="center"/>
          </w:tcPr>
          <w:p w14:paraId="1C986B4D"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bCs/>
                <w:color w:val="333333"/>
                <w:kern w:val="0"/>
                <w:sz w:val="24"/>
                <w:szCs w:val="24"/>
              </w:rPr>
              <w:t>厦门大学陈武元教授</w:t>
            </w:r>
          </w:p>
        </w:tc>
        <w:tc>
          <w:tcPr>
            <w:tcW w:w="2652" w:type="dxa"/>
            <w:vAlign w:val="center"/>
          </w:tcPr>
          <w:p w14:paraId="1E591A0E"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《科研思维与项目申报的技巧》</w:t>
            </w:r>
          </w:p>
        </w:tc>
        <w:tc>
          <w:tcPr>
            <w:tcW w:w="1843" w:type="dxa"/>
            <w:vAlign w:val="center"/>
          </w:tcPr>
          <w:p w14:paraId="5B493D96"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11月2日</w:t>
            </w:r>
          </w:p>
        </w:tc>
      </w:tr>
      <w:tr w:rsidR="00F605EB" w14:paraId="07DAAC11" w14:textId="77777777">
        <w:tc>
          <w:tcPr>
            <w:tcW w:w="817" w:type="dxa"/>
            <w:vAlign w:val="center"/>
          </w:tcPr>
          <w:p w14:paraId="79639B5B"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5</w:t>
            </w:r>
          </w:p>
        </w:tc>
        <w:tc>
          <w:tcPr>
            <w:tcW w:w="3443" w:type="dxa"/>
            <w:vAlign w:val="center"/>
          </w:tcPr>
          <w:p w14:paraId="7D4BE1C6"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color w:val="555555"/>
                <w:kern w:val="0"/>
                <w:sz w:val="24"/>
                <w:szCs w:val="24"/>
              </w:rPr>
              <w:t>江西科技师范大学副校长徐景坤教授</w:t>
            </w:r>
          </w:p>
        </w:tc>
        <w:tc>
          <w:tcPr>
            <w:tcW w:w="2652" w:type="dxa"/>
            <w:vAlign w:val="center"/>
          </w:tcPr>
          <w:p w14:paraId="63216289"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color w:val="555555"/>
                <w:kern w:val="0"/>
                <w:sz w:val="24"/>
                <w:szCs w:val="24"/>
              </w:rPr>
              <w:t>《读研究生，学什么？》</w:t>
            </w:r>
          </w:p>
        </w:tc>
        <w:tc>
          <w:tcPr>
            <w:tcW w:w="1843" w:type="dxa"/>
            <w:vAlign w:val="center"/>
          </w:tcPr>
          <w:p w14:paraId="12CE1A7B"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10月29日</w:t>
            </w:r>
          </w:p>
        </w:tc>
      </w:tr>
      <w:tr w:rsidR="00F605EB" w14:paraId="7BD09A1D" w14:textId="77777777">
        <w:tc>
          <w:tcPr>
            <w:tcW w:w="817" w:type="dxa"/>
            <w:vAlign w:val="center"/>
          </w:tcPr>
          <w:p w14:paraId="6B07B14F"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6</w:t>
            </w:r>
          </w:p>
        </w:tc>
        <w:tc>
          <w:tcPr>
            <w:tcW w:w="3443" w:type="dxa"/>
            <w:vAlign w:val="center"/>
          </w:tcPr>
          <w:p w14:paraId="212A1930"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color w:val="555555"/>
                <w:kern w:val="0"/>
                <w:sz w:val="24"/>
                <w:szCs w:val="24"/>
              </w:rPr>
              <w:t>东北师范大学研究员胡义老师</w:t>
            </w:r>
          </w:p>
        </w:tc>
        <w:tc>
          <w:tcPr>
            <w:tcW w:w="2652" w:type="dxa"/>
            <w:vAlign w:val="center"/>
          </w:tcPr>
          <w:p w14:paraId="67151915"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color w:val="555555"/>
                <w:kern w:val="0"/>
                <w:sz w:val="24"/>
                <w:szCs w:val="24"/>
              </w:rPr>
              <w:t>《教育学术论文的撰写与投稿——基于&lt;外国教育研究&gt;》</w:t>
            </w:r>
          </w:p>
        </w:tc>
        <w:tc>
          <w:tcPr>
            <w:tcW w:w="1843" w:type="dxa"/>
            <w:vAlign w:val="center"/>
          </w:tcPr>
          <w:p w14:paraId="2F7021E2"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10月24日</w:t>
            </w:r>
          </w:p>
        </w:tc>
      </w:tr>
      <w:tr w:rsidR="00F605EB" w14:paraId="3040E39D" w14:textId="77777777">
        <w:tc>
          <w:tcPr>
            <w:tcW w:w="817" w:type="dxa"/>
            <w:vAlign w:val="center"/>
          </w:tcPr>
          <w:p w14:paraId="0CB54186"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7</w:t>
            </w:r>
          </w:p>
        </w:tc>
        <w:tc>
          <w:tcPr>
            <w:tcW w:w="3443" w:type="dxa"/>
            <w:vAlign w:val="center"/>
          </w:tcPr>
          <w:p w14:paraId="209F763E" w14:textId="77777777" w:rsidR="00F605EB" w:rsidRDefault="00E43777">
            <w:pPr>
              <w:pStyle w:val="3"/>
              <w:spacing w:line="240" w:lineRule="auto"/>
              <w:ind w:firstLineChars="0" w:firstLine="0"/>
              <w:jc w:val="center"/>
              <w:outlineLvl w:val="2"/>
              <w:rPr>
                <w:rFonts w:asciiTheme="minorEastAsia" w:eastAsiaTheme="minorEastAsia" w:hAnsiTheme="minorEastAsia"/>
                <w:color w:val="555555"/>
                <w:kern w:val="0"/>
                <w:sz w:val="24"/>
                <w:szCs w:val="24"/>
              </w:rPr>
            </w:pPr>
            <w:r>
              <w:rPr>
                <w:rFonts w:asciiTheme="minorEastAsia" w:eastAsiaTheme="minorEastAsia" w:hAnsiTheme="minorEastAsia" w:hint="eastAsia"/>
                <w:color w:val="555555"/>
                <w:kern w:val="0"/>
                <w:sz w:val="24"/>
                <w:szCs w:val="24"/>
              </w:rPr>
              <w:t>上海交通大学物理系博士蔡宝军</w:t>
            </w:r>
          </w:p>
        </w:tc>
        <w:tc>
          <w:tcPr>
            <w:tcW w:w="2652" w:type="dxa"/>
            <w:vAlign w:val="center"/>
          </w:tcPr>
          <w:p w14:paraId="2087E3B8" w14:textId="77777777" w:rsidR="00F605EB" w:rsidRDefault="00E43777">
            <w:pPr>
              <w:pStyle w:val="3"/>
              <w:spacing w:line="240" w:lineRule="auto"/>
              <w:ind w:firstLineChars="0" w:firstLine="0"/>
              <w:jc w:val="center"/>
              <w:outlineLvl w:val="2"/>
              <w:rPr>
                <w:rFonts w:asciiTheme="minorEastAsia" w:eastAsiaTheme="minorEastAsia" w:hAnsiTheme="minorEastAsia"/>
                <w:color w:val="555555"/>
                <w:kern w:val="0"/>
                <w:sz w:val="24"/>
                <w:szCs w:val="24"/>
              </w:rPr>
            </w:pPr>
            <w:r>
              <w:rPr>
                <w:rFonts w:asciiTheme="minorEastAsia" w:eastAsiaTheme="minorEastAsia" w:hAnsiTheme="minorEastAsia" w:hint="eastAsia"/>
                <w:color w:val="555555"/>
                <w:kern w:val="0"/>
                <w:sz w:val="24"/>
                <w:szCs w:val="24"/>
              </w:rPr>
              <w:t>《AR/MR问题中的经典算法》</w:t>
            </w:r>
          </w:p>
        </w:tc>
        <w:tc>
          <w:tcPr>
            <w:tcW w:w="1843" w:type="dxa"/>
            <w:vAlign w:val="center"/>
          </w:tcPr>
          <w:p w14:paraId="1837D05B" w14:textId="77777777" w:rsidR="00F605EB" w:rsidRDefault="00E43777">
            <w:pPr>
              <w:pStyle w:val="3"/>
              <w:spacing w:line="240" w:lineRule="auto"/>
              <w:ind w:firstLineChars="0" w:firstLine="0"/>
              <w:jc w:val="center"/>
              <w:outlineLvl w:val="2"/>
              <w:rPr>
                <w:rFonts w:asciiTheme="minorEastAsia" w:eastAsiaTheme="minorEastAsia" w:hAnsiTheme="minorEastAsia"/>
                <w:color w:val="555555"/>
                <w:kern w:val="0"/>
                <w:sz w:val="24"/>
                <w:szCs w:val="24"/>
              </w:rPr>
            </w:pPr>
            <w:r>
              <w:rPr>
                <w:rFonts w:asciiTheme="minorEastAsia" w:eastAsiaTheme="minorEastAsia" w:hAnsiTheme="minorEastAsia" w:hint="eastAsia"/>
                <w:color w:val="555555"/>
                <w:kern w:val="0"/>
                <w:sz w:val="24"/>
                <w:szCs w:val="24"/>
              </w:rPr>
              <w:t>10月22日</w:t>
            </w:r>
          </w:p>
        </w:tc>
      </w:tr>
      <w:tr w:rsidR="00F605EB" w14:paraId="2547CC7D" w14:textId="77777777">
        <w:tc>
          <w:tcPr>
            <w:tcW w:w="817" w:type="dxa"/>
            <w:vAlign w:val="center"/>
          </w:tcPr>
          <w:p w14:paraId="4468CC7C"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8</w:t>
            </w:r>
          </w:p>
        </w:tc>
        <w:tc>
          <w:tcPr>
            <w:tcW w:w="3443" w:type="dxa"/>
            <w:vAlign w:val="center"/>
          </w:tcPr>
          <w:p w14:paraId="037991B5" w14:textId="77777777" w:rsidR="00F605EB" w:rsidRDefault="00E43777">
            <w:pPr>
              <w:pStyle w:val="3"/>
              <w:spacing w:line="240" w:lineRule="auto"/>
              <w:ind w:firstLineChars="0" w:firstLine="0"/>
              <w:jc w:val="center"/>
              <w:outlineLvl w:val="2"/>
              <w:rPr>
                <w:rFonts w:asciiTheme="minorEastAsia" w:eastAsiaTheme="minorEastAsia" w:hAnsiTheme="minorEastAsia"/>
                <w:color w:val="555555"/>
                <w:kern w:val="0"/>
                <w:sz w:val="24"/>
                <w:szCs w:val="24"/>
              </w:rPr>
            </w:pPr>
            <w:r>
              <w:rPr>
                <w:rFonts w:asciiTheme="minorEastAsia" w:eastAsiaTheme="minorEastAsia" w:hAnsiTheme="minorEastAsia" w:hint="eastAsia"/>
                <w:color w:val="555555"/>
                <w:kern w:val="0"/>
                <w:sz w:val="24"/>
                <w:szCs w:val="24"/>
              </w:rPr>
              <w:t>江西影创信息产业有限公司总经理蒲颖</w:t>
            </w:r>
          </w:p>
        </w:tc>
        <w:tc>
          <w:tcPr>
            <w:tcW w:w="2652" w:type="dxa"/>
            <w:vAlign w:val="center"/>
          </w:tcPr>
          <w:p w14:paraId="69D78C5E" w14:textId="77777777" w:rsidR="00F605EB" w:rsidRDefault="00E43777">
            <w:pPr>
              <w:pStyle w:val="3"/>
              <w:spacing w:line="240" w:lineRule="auto"/>
              <w:ind w:firstLineChars="0" w:firstLine="0"/>
              <w:jc w:val="center"/>
              <w:outlineLvl w:val="2"/>
              <w:rPr>
                <w:rFonts w:asciiTheme="minorEastAsia" w:eastAsiaTheme="minorEastAsia" w:hAnsiTheme="minorEastAsia"/>
                <w:color w:val="555555"/>
                <w:kern w:val="0"/>
                <w:sz w:val="24"/>
                <w:szCs w:val="24"/>
              </w:rPr>
            </w:pPr>
            <w:r>
              <w:rPr>
                <w:rFonts w:asciiTheme="minorEastAsia" w:eastAsiaTheme="minorEastAsia" w:hAnsiTheme="minorEastAsia" w:hint="eastAsia"/>
                <w:color w:val="555555"/>
                <w:kern w:val="0"/>
                <w:sz w:val="24"/>
                <w:szCs w:val="24"/>
              </w:rPr>
              <w:t>《扩展现实技术及其发展》</w:t>
            </w:r>
          </w:p>
        </w:tc>
        <w:tc>
          <w:tcPr>
            <w:tcW w:w="1843" w:type="dxa"/>
            <w:vAlign w:val="center"/>
          </w:tcPr>
          <w:p w14:paraId="0D30D428" w14:textId="77777777" w:rsidR="00F605EB" w:rsidRDefault="00E43777">
            <w:pPr>
              <w:pStyle w:val="3"/>
              <w:spacing w:line="240" w:lineRule="auto"/>
              <w:ind w:firstLineChars="0" w:firstLine="0"/>
              <w:jc w:val="center"/>
              <w:outlineLvl w:val="2"/>
              <w:rPr>
                <w:rFonts w:asciiTheme="minorEastAsia" w:eastAsiaTheme="minorEastAsia" w:hAnsiTheme="minorEastAsia"/>
                <w:color w:val="555555"/>
                <w:kern w:val="0"/>
                <w:sz w:val="24"/>
                <w:szCs w:val="24"/>
              </w:rPr>
            </w:pPr>
            <w:r>
              <w:rPr>
                <w:rFonts w:asciiTheme="minorEastAsia" w:eastAsiaTheme="minorEastAsia" w:hAnsiTheme="minorEastAsia" w:hint="eastAsia"/>
                <w:color w:val="555555"/>
                <w:kern w:val="0"/>
                <w:sz w:val="24"/>
                <w:szCs w:val="24"/>
              </w:rPr>
              <w:t>10月22日</w:t>
            </w:r>
          </w:p>
        </w:tc>
      </w:tr>
      <w:tr w:rsidR="00F605EB" w14:paraId="199B54CB" w14:textId="77777777">
        <w:tc>
          <w:tcPr>
            <w:tcW w:w="817" w:type="dxa"/>
            <w:vAlign w:val="center"/>
          </w:tcPr>
          <w:p w14:paraId="4E7C959A"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w:t>
            </w:r>
          </w:p>
        </w:tc>
        <w:tc>
          <w:tcPr>
            <w:tcW w:w="3443" w:type="dxa"/>
            <w:vAlign w:val="center"/>
          </w:tcPr>
          <w:p w14:paraId="1C8405A5" w14:textId="77777777" w:rsidR="00F605EB" w:rsidRDefault="00E43777">
            <w:pPr>
              <w:pStyle w:val="3"/>
              <w:spacing w:line="240" w:lineRule="auto"/>
              <w:ind w:firstLineChars="0" w:firstLine="0"/>
              <w:jc w:val="center"/>
              <w:outlineLvl w:val="2"/>
              <w:rPr>
                <w:rFonts w:asciiTheme="minorEastAsia" w:eastAsiaTheme="minorEastAsia" w:hAnsiTheme="minorEastAsia"/>
                <w:color w:val="555555"/>
                <w:kern w:val="0"/>
                <w:sz w:val="24"/>
                <w:szCs w:val="24"/>
              </w:rPr>
            </w:pPr>
            <w:r>
              <w:rPr>
                <w:rFonts w:asciiTheme="minorEastAsia" w:eastAsiaTheme="minorEastAsia" w:hAnsiTheme="minorEastAsia" w:hint="eastAsia"/>
                <w:color w:val="555555"/>
                <w:kern w:val="0"/>
                <w:sz w:val="24"/>
                <w:szCs w:val="24"/>
              </w:rPr>
              <w:t>南开大学王星教授</w:t>
            </w:r>
          </w:p>
        </w:tc>
        <w:tc>
          <w:tcPr>
            <w:tcW w:w="2652" w:type="dxa"/>
            <w:vAlign w:val="center"/>
          </w:tcPr>
          <w:p w14:paraId="0FD95679" w14:textId="77777777" w:rsidR="00F605EB" w:rsidRDefault="00E43777">
            <w:pPr>
              <w:pStyle w:val="3"/>
              <w:spacing w:line="240" w:lineRule="auto"/>
              <w:ind w:firstLineChars="0" w:firstLine="0"/>
              <w:jc w:val="center"/>
              <w:outlineLvl w:val="2"/>
              <w:rPr>
                <w:rFonts w:asciiTheme="minorEastAsia" w:eastAsiaTheme="minorEastAsia" w:hAnsiTheme="minorEastAsia"/>
                <w:color w:val="555555"/>
                <w:kern w:val="0"/>
                <w:sz w:val="24"/>
                <w:szCs w:val="24"/>
              </w:rPr>
            </w:pPr>
            <w:r>
              <w:rPr>
                <w:rFonts w:asciiTheme="minorEastAsia" w:eastAsiaTheme="minorEastAsia" w:hAnsiTheme="minorEastAsia" w:hint="eastAsia"/>
                <w:color w:val="555555"/>
                <w:kern w:val="0"/>
                <w:sz w:val="24"/>
                <w:szCs w:val="24"/>
              </w:rPr>
              <w:t>《技能经济到技能社会：技能形成研究的理论与现实对话》</w:t>
            </w:r>
          </w:p>
        </w:tc>
        <w:tc>
          <w:tcPr>
            <w:tcW w:w="1843" w:type="dxa"/>
            <w:vAlign w:val="center"/>
          </w:tcPr>
          <w:p w14:paraId="1FD71708" w14:textId="77777777" w:rsidR="00F605EB" w:rsidRDefault="00E43777">
            <w:pPr>
              <w:pStyle w:val="3"/>
              <w:spacing w:line="240" w:lineRule="auto"/>
              <w:ind w:firstLineChars="0" w:firstLine="0"/>
              <w:jc w:val="center"/>
              <w:outlineLvl w:val="2"/>
              <w:rPr>
                <w:rFonts w:asciiTheme="minorEastAsia" w:eastAsiaTheme="minorEastAsia" w:hAnsiTheme="minorEastAsia"/>
                <w:color w:val="555555"/>
                <w:kern w:val="0"/>
                <w:sz w:val="24"/>
                <w:szCs w:val="24"/>
              </w:rPr>
            </w:pPr>
            <w:r>
              <w:rPr>
                <w:rFonts w:asciiTheme="minorEastAsia" w:eastAsiaTheme="minorEastAsia" w:hAnsiTheme="minorEastAsia" w:hint="eastAsia"/>
                <w:color w:val="555555"/>
                <w:kern w:val="0"/>
                <w:sz w:val="24"/>
                <w:szCs w:val="24"/>
              </w:rPr>
              <w:t>10月16日</w:t>
            </w:r>
          </w:p>
        </w:tc>
      </w:tr>
      <w:tr w:rsidR="00F605EB" w14:paraId="282D25A7" w14:textId="77777777">
        <w:tc>
          <w:tcPr>
            <w:tcW w:w="817" w:type="dxa"/>
            <w:vAlign w:val="center"/>
          </w:tcPr>
          <w:p w14:paraId="77109CC6" w14:textId="77777777" w:rsidR="00F605EB" w:rsidRDefault="00E43777">
            <w:pPr>
              <w:pStyle w:val="3"/>
              <w:spacing w:line="240" w:lineRule="auto"/>
              <w:ind w:firstLineChars="0" w:firstLine="0"/>
              <w:jc w:val="center"/>
              <w:outlineLvl w:val="2"/>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10</w:t>
            </w:r>
          </w:p>
        </w:tc>
        <w:tc>
          <w:tcPr>
            <w:tcW w:w="3443" w:type="dxa"/>
            <w:vAlign w:val="center"/>
          </w:tcPr>
          <w:p w14:paraId="535B5E80" w14:textId="77777777" w:rsidR="00F605EB" w:rsidRDefault="00E43777">
            <w:pPr>
              <w:pStyle w:val="3"/>
              <w:spacing w:line="240" w:lineRule="auto"/>
              <w:ind w:firstLineChars="0" w:firstLine="0"/>
              <w:jc w:val="center"/>
              <w:outlineLvl w:val="2"/>
              <w:rPr>
                <w:rFonts w:asciiTheme="minorEastAsia" w:eastAsiaTheme="minorEastAsia" w:hAnsiTheme="minorEastAsia"/>
                <w:color w:val="555555"/>
                <w:kern w:val="0"/>
                <w:sz w:val="24"/>
                <w:szCs w:val="24"/>
              </w:rPr>
            </w:pPr>
            <w:r>
              <w:rPr>
                <w:rFonts w:asciiTheme="minorEastAsia" w:eastAsiaTheme="minorEastAsia" w:hAnsiTheme="minorEastAsia" w:hint="eastAsia"/>
                <w:color w:val="555555"/>
                <w:kern w:val="0"/>
                <w:sz w:val="24"/>
                <w:szCs w:val="24"/>
              </w:rPr>
              <w:t>北京师范大学宋萑教授</w:t>
            </w:r>
          </w:p>
        </w:tc>
        <w:tc>
          <w:tcPr>
            <w:tcW w:w="2652" w:type="dxa"/>
            <w:vAlign w:val="center"/>
          </w:tcPr>
          <w:p w14:paraId="73453707" w14:textId="77777777" w:rsidR="00F605EB" w:rsidRDefault="00E43777">
            <w:pPr>
              <w:pStyle w:val="3"/>
              <w:spacing w:line="240" w:lineRule="auto"/>
              <w:ind w:firstLineChars="0" w:firstLine="0"/>
              <w:jc w:val="center"/>
              <w:outlineLvl w:val="2"/>
              <w:rPr>
                <w:rFonts w:asciiTheme="minorEastAsia" w:eastAsiaTheme="minorEastAsia" w:hAnsiTheme="minorEastAsia"/>
                <w:color w:val="555555"/>
                <w:kern w:val="0"/>
                <w:sz w:val="24"/>
                <w:szCs w:val="24"/>
              </w:rPr>
            </w:pPr>
            <w:r>
              <w:rPr>
                <w:rFonts w:asciiTheme="minorEastAsia" w:eastAsiaTheme="minorEastAsia" w:hAnsiTheme="minorEastAsia" w:hint="eastAsia"/>
                <w:color w:val="555555"/>
                <w:kern w:val="0"/>
                <w:sz w:val="24"/>
                <w:szCs w:val="24"/>
              </w:rPr>
              <w:t>《课程改革：从标准本位走向素养本位》</w:t>
            </w:r>
          </w:p>
        </w:tc>
        <w:tc>
          <w:tcPr>
            <w:tcW w:w="1843" w:type="dxa"/>
            <w:vAlign w:val="center"/>
          </w:tcPr>
          <w:p w14:paraId="415D0247" w14:textId="77777777" w:rsidR="00F605EB" w:rsidRDefault="00E43777">
            <w:pPr>
              <w:pStyle w:val="3"/>
              <w:spacing w:line="240" w:lineRule="auto"/>
              <w:ind w:firstLineChars="0" w:firstLine="0"/>
              <w:jc w:val="center"/>
              <w:outlineLvl w:val="2"/>
              <w:rPr>
                <w:rFonts w:asciiTheme="minorEastAsia" w:eastAsiaTheme="minorEastAsia" w:hAnsiTheme="minorEastAsia"/>
                <w:color w:val="555555"/>
                <w:kern w:val="0"/>
                <w:sz w:val="24"/>
                <w:szCs w:val="24"/>
              </w:rPr>
            </w:pPr>
            <w:r>
              <w:rPr>
                <w:rFonts w:asciiTheme="minorEastAsia" w:eastAsiaTheme="minorEastAsia" w:hAnsiTheme="minorEastAsia" w:hint="eastAsia"/>
                <w:color w:val="555555"/>
                <w:kern w:val="0"/>
                <w:sz w:val="24"/>
                <w:szCs w:val="24"/>
              </w:rPr>
              <w:t>10月12日</w:t>
            </w:r>
          </w:p>
        </w:tc>
      </w:tr>
    </w:tbl>
    <w:p w14:paraId="670A328F" w14:textId="77777777" w:rsidR="00F605EB" w:rsidRDefault="00E43777">
      <w:pPr>
        <w:pStyle w:val="ad"/>
        <w:widowControl/>
        <w:spacing w:beforeAutospacing="0" w:afterAutospacing="0" w:line="580" w:lineRule="exact"/>
        <w:ind w:firstLineChars="200" w:firstLine="602"/>
        <w:rPr>
          <w:rStyle w:val="NormalCharacter"/>
          <w:rFonts w:ascii="仿宋_GB2312" w:eastAsia="仿宋_GB2312" w:hAnsi="黑体" w:cs="黑体"/>
          <w:b/>
          <w:sz w:val="30"/>
        </w:rPr>
      </w:pPr>
      <w:r>
        <w:rPr>
          <w:rStyle w:val="NormalCharacter"/>
          <w:rFonts w:ascii="仿宋_GB2312" w:eastAsia="仿宋_GB2312" w:hAnsi="黑体" w:cs="黑体" w:hint="eastAsia"/>
          <w:b/>
          <w:sz w:val="30"/>
        </w:rPr>
        <w:t>（五）</w:t>
      </w:r>
      <w:r>
        <w:rPr>
          <w:rStyle w:val="NormalCharacter"/>
          <w:rFonts w:ascii="仿宋_GB2312" w:eastAsia="仿宋_GB2312" w:hAnsi="黑体" w:cs="黑体"/>
          <w:b/>
          <w:sz w:val="30"/>
        </w:rPr>
        <w:t>学术交流情况</w:t>
      </w:r>
    </w:p>
    <w:p w14:paraId="0D428F50" w14:textId="77777777" w:rsidR="00F605EB" w:rsidRDefault="00E43777" w:rsidP="008D2C63">
      <w:pPr>
        <w:pStyle w:val="ad"/>
        <w:widowControl/>
        <w:spacing w:beforeAutospacing="0" w:afterAutospacing="0" w:line="580" w:lineRule="exact"/>
        <w:ind w:firstLineChars="200" w:firstLine="600"/>
        <w:rPr>
          <w:rStyle w:val="NormalCharacter"/>
          <w:rFonts w:ascii="仿宋_GB2312" w:eastAsia="仿宋_GB2312" w:hAnsi="黑体" w:cs="黑体"/>
          <w:sz w:val="30"/>
        </w:rPr>
      </w:pPr>
      <w:r>
        <w:rPr>
          <w:rStyle w:val="NormalCharacter"/>
          <w:rFonts w:ascii="仿宋_GB2312" w:eastAsia="仿宋_GB2312" w:hAnsi="黑体" w:cs="黑体"/>
          <w:sz w:val="30"/>
        </w:rPr>
        <w:t>按培养计划要求，每位研究生在读期间参加至少一次国内会议。此外，为开拓学生视野，学位点鼓励导师将研究生派出去参加相关国内外学术会议等，并给予相应的经费支持（研究生培养经费）。</w:t>
      </w:r>
    </w:p>
    <w:p w14:paraId="4D80B11A" w14:textId="77777777" w:rsidR="00F605EB" w:rsidRDefault="00E43777">
      <w:pPr>
        <w:pStyle w:val="ad"/>
        <w:widowControl/>
        <w:spacing w:beforeAutospacing="0" w:afterAutospacing="0" w:line="580" w:lineRule="exact"/>
        <w:ind w:firstLineChars="200" w:firstLine="602"/>
        <w:rPr>
          <w:rStyle w:val="NormalCharacter"/>
          <w:rFonts w:ascii="仿宋_GB2312" w:eastAsia="仿宋_GB2312" w:hAnsi="黑体" w:cs="黑体"/>
          <w:b/>
          <w:sz w:val="30"/>
        </w:rPr>
      </w:pPr>
      <w:r>
        <w:rPr>
          <w:rStyle w:val="NormalCharacter"/>
          <w:rFonts w:ascii="仿宋_GB2312" w:eastAsia="仿宋_GB2312" w:hAnsi="黑体" w:cs="黑体" w:hint="eastAsia"/>
          <w:b/>
          <w:sz w:val="30"/>
        </w:rPr>
        <w:t>（六）</w:t>
      </w:r>
      <w:r>
        <w:rPr>
          <w:rStyle w:val="NormalCharacter"/>
          <w:rFonts w:ascii="仿宋_GB2312" w:eastAsia="仿宋_GB2312" w:hAnsi="黑体" w:cs="黑体"/>
          <w:b/>
          <w:sz w:val="30"/>
        </w:rPr>
        <w:t>研究生奖助情况</w:t>
      </w:r>
    </w:p>
    <w:p w14:paraId="5D16FF65" w14:textId="77777777" w:rsidR="00F605EB" w:rsidRDefault="00E43777">
      <w:pPr>
        <w:pStyle w:val="ad"/>
        <w:widowControl/>
        <w:spacing w:beforeAutospacing="0" w:afterAutospacing="0" w:line="580" w:lineRule="exact"/>
        <w:ind w:firstLineChars="200" w:firstLine="600"/>
        <w:rPr>
          <w:rStyle w:val="NormalCharacter"/>
          <w:rFonts w:ascii="仿宋_GB2312" w:eastAsia="仿宋_GB2312" w:hAnsi="黑体" w:cs="黑体"/>
          <w:sz w:val="30"/>
        </w:rPr>
      </w:pPr>
      <w:r>
        <w:rPr>
          <w:rStyle w:val="NormalCharacter"/>
          <w:rFonts w:ascii="仿宋_GB2312" w:eastAsia="仿宋_GB2312" w:hAnsi="黑体" w:cs="黑体" w:hint="eastAsia"/>
          <w:sz w:val="30"/>
        </w:rPr>
        <w:t>为做好教育学部研究生奖学金评选工作，制定了《江西科技师范大学教育学部研究生奖学金评选实施办法（试行）》、《江西</w:t>
      </w:r>
      <w:r>
        <w:rPr>
          <w:rStyle w:val="NormalCharacter"/>
          <w:rFonts w:ascii="仿宋_GB2312" w:eastAsia="仿宋_GB2312" w:hAnsi="黑体" w:cs="黑体" w:hint="eastAsia"/>
          <w:sz w:val="30"/>
        </w:rPr>
        <w:lastRenderedPageBreak/>
        <w:t>科技师范大学教育学部研究生综合素质测评实施细则（试行）》等办法；在此文件基础上公平公正开展了2021年奖学金评审推荐工作， 2021年教育硕士获江西省学业奖学金</w:t>
      </w:r>
      <w:r w:rsidR="008D2C63">
        <w:rPr>
          <w:rStyle w:val="NormalCharacter"/>
          <w:rFonts w:ascii="仿宋_GB2312" w:eastAsia="仿宋_GB2312" w:hAnsi="黑体" w:cs="黑体" w:hint="eastAsia"/>
          <w:sz w:val="30"/>
        </w:rPr>
        <w:t>3</w:t>
      </w:r>
      <w:r>
        <w:rPr>
          <w:rStyle w:val="NormalCharacter"/>
          <w:rFonts w:ascii="仿宋_GB2312" w:eastAsia="仿宋_GB2312" w:hAnsi="黑体" w:cs="黑体" w:hint="eastAsia"/>
          <w:sz w:val="30"/>
        </w:rPr>
        <w:t>人、</w:t>
      </w:r>
      <w:r w:rsidR="008D2C63">
        <w:rPr>
          <w:rStyle w:val="NormalCharacter"/>
          <w:rFonts w:ascii="仿宋_GB2312" w:eastAsia="仿宋_GB2312" w:hAnsi="黑体" w:cs="黑体" w:hint="eastAsia"/>
          <w:sz w:val="30"/>
        </w:rPr>
        <w:t>校新生奖学金82人，</w:t>
      </w:r>
      <w:r>
        <w:rPr>
          <w:rStyle w:val="NormalCharacter"/>
          <w:rFonts w:ascii="仿宋_GB2312" w:eastAsia="仿宋_GB2312" w:hAnsi="黑体" w:cs="黑体" w:hint="eastAsia"/>
          <w:sz w:val="30"/>
        </w:rPr>
        <w:t>校学业奖学金</w:t>
      </w:r>
      <w:r w:rsidR="008D2C63">
        <w:rPr>
          <w:rStyle w:val="NormalCharacter"/>
          <w:rFonts w:ascii="仿宋_GB2312" w:eastAsia="仿宋_GB2312" w:hAnsi="黑体" w:cs="黑体" w:hint="eastAsia"/>
          <w:sz w:val="30"/>
        </w:rPr>
        <w:t>207</w:t>
      </w:r>
      <w:r>
        <w:rPr>
          <w:rStyle w:val="NormalCharacter"/>
          <w:rFonts w:ascii="仿宋_GB2312" w:eastAsia="仿宋_GB2312" w:hAnsi="黑体" w:cs="黑体" w:hint="eastAsia"/>
          <w:sz w:val="30"/>
        </w:rPr>
        <w:t>人。</w:t>
      </w:r>
    </w:p>
    <w:p w14:paraId="5650B46F" w14:textId="77777777" w:rsidR="00F605EB" w:rsidRDefault="00E43777">
      <w:pPr>
        <w:widowControl/>
        <w:spacing w:line="580" w:lineRule="exact"/>
        <w:ind w:firstLineChars="200" w:firstLine="643"/>
        <w:textAlignment w:val="baseline"/>
        <w:rPr>
          <w:rStyle w:val="NormalCharacter"/>
          <w:rFonts w:ascii="黑体" w:eastAsia="黑体" w:hAnsi="黑体" w:cs="黑体"/>
          <w:b/>
          <w:sz w:val="32"/>
          <w:szCs w:val="32"/>
        </w:rPr>
      </w:pPr>
      <w:r>
        <w:rPr>
          <w:rStyle w:val="NormalCharacter"/>
          <w:rFonts w:ascii="黑体" w:eastAsia="黑体" w:hAnsi="黑体" w:cs="黑体" w:hint="eastAsia"/>
          <w:b/>
          <w:sz w:val="32"/>
          <w:szCs w:val="32"/>
        </w:rPr>
        <w:t>四、研究生教育改革情况</w:t>
      </w:r>
    </w:p>
    <w:p w14:paraId="7126F1FE" w14:textId="77777777" w:rsidR="00F605EB" w:rsidRDefault="00E43777">
      <w:pPr>
        <w:pStyle w:val="ad"/>
        <w:widowControl/>
        <w:spacing w:beforeAutospacing="0" w:afterAutospacing="0" w:line="580" w:lineRule="exact"/>
        <w:ind w:firstLineChars="200" w:firstLine="602"/>
        <w:rPr>
          <w:rStyle w:val="NormalCharacter"/>
          <w:rFonts w:ascii="仿宋_GB2312" w:eastAsia="仿宋_GB2312" w:hAnsi="黑体" w:cs="黑体"/>
          <w:b/>
          <w:sz w:val="30"/>
        </w:rPr>
      </w:pPr>
      <w:r>
        <w:rPr>
          <w:rStyle w:val="NormalCharacter"/>
          <w:rFonts w:ascii="仿宋_GB2312" w:eastAsia="仿宋_GB2312" w:hAnsi="黑体" w:cs="黑体" w:hint="eastAsia"/>
          <w:b/>
          <w:sz w:val="30"/>
        </w:rPr>
        <w:t>（一）人才培养</w:t>
      </w:r>
    </w:p>
    <w:p w14:paraId="7E1E9E26" w14:textId="77777777" w:rsidR="00F605EB" w:rsidRDefault="00E43777">
      <w:pPr>
        <w:spacing w:line="580" w:lineRule="exact"/>
        <w:ind w:firstLineChars="200" w:firstLine="600"/>
        <w:rPr>
          <w:rStyle w:val="NormalCharacter"/>
          <w:rFonts w:ascii="仿宋_GB2312" w:eastAsia="仿宋_GB2312" w:hAnsi="黑体" w:cs="黑体"/>
          <w:sz w:val="30"/>
        </w:rPr>
      </w:pPr>
      <w:r>
        <w:rPr>
          <w:rStyle w:val="NormalCharacter"/>
          <w:rFonts w:ascii="仿宋_GB2312" w:eastAsia="仿宋_GB2312" w:hAnsi="黑体" w:cs="黑体" w:hint="eastAsia"/>
          <w:sz w:val="30"/>
        </w:rPr>
        <w:t>1.组织开展全日制教育硕士专业学位研究生培养方案编制和修订工作，根据教指委下发的《全日制教育硕士专业学位研究生指导性培养方案（修订）》，研究生院下发的《关于修订（制定）2021版研究生培养方案的通知》相关文件要求编制和修订了2021年研究生培养方案，包含学前教育、现代技术教育、教育管理、学科教学（历史、数学、英语、语文）、职业技术教育（文化艺术、信息技术、财经商贸、旅游服务）。进一步推进了将硕士生应用能力和职业能力的培养融入课程体系、课程体系的设计，积极响应社会行业发展需求。</w:t>
      </w:r>
    </w:p>
    <w:p w14:paraId="77A601D3" w14:textId="77777777" w:rsidR="00F605EB" w:rsidRDefault="00E43777">
      <w:pPr>
        <w:pStyle w:val="ad"/>
        <w:widowControl/>
        <w:spacing w:beforeAutospacing="0" w:afterAutospacing="0" w:line="580" w:lineRule="exact"/>
        <w:ind w:firstLineChars="200" w:firstLine="600"/>
        <w:rPr>
          <w:rStyle w:val="NormalCharacter"/>
          <w:rFonts w:ascii="仿宋_GB2312" w:eastAsia="仿宋_GB2312" w:hAnsi="黑体"/>
          <w:sz w:val="30"/>
        </w:rPr>
      </w:pPr>
      <w:r>
        <w:rPr>
          <w:rStyle w:val="NormalCharacter"/>
          <w:rFonts w:ascii="仿宋_GB2312" w:eastAsia="仿宋_GB2312" w:hAnsi="黑体" w:cs="黑体" w:hint="eastAsia"/>
          <w:sz w:val="30"/>
        </w:rPr>
        <w:t>2.推进研究生课程教学改革与质量督导创新。建构“一核四环”的科研能力训练模式为重点，推进研究生课程教学改革与质量督导创新。 “一核”主要体现在以“问题”导向为意识，明确研究生在科学研究中以解决现实教育实践中存在的问题为核心。“四环”则包括：一是定方位阶段，通过相关的学习帮助学生找到自己感兴趣的方向；二是</w:t>
      </w:r>
      <w:r w:rsidR="008D2C63" w:rsidRPr="008D2C63">
        <w:rPr>
          <w:rStyle w:val="NormalCharacter"/>
          <w:rFonts w:ascii="仿宋_GB2312" w:eastAsia="仿宋_GB2312" w:hAnsi="黑体" w:cs="黑体" w:hint="eastAsia"/>
          <w:sz w:val="30"/>
        </w:rPr>
        <w:t>细致</w:t>
      </w:r>
      <w:r>
        <w:rPr>
          <w:rStyle w:val="NormalCharacter"/>
          <w:rFonts w:ascii="仿宋_GB2312" w:eastAsia="仿宋_GB2312" w:hAnsi="黑体" w:cs="黑体" w:hint="eastAsia"/>
          <w:sz w:val="30"/>
        </w:rPr>
        <w:t>化概念阶段，鼓励研究生把兴趣转化为问题意识，从而明确相关的研究问题；三是调查问题阶段，通过相关研究方法的运用，进行现场收集数据；四是成果</w:t>
      </w:r>
      <w:r>
        <w:rPr>
          <w:rStyle w:val="NormalCharacter"/>
          <w:rFonts w:ascii="仿宋_GB2312" w:eastAsia="仿宋_GB2312" w:hAnsi="黑体" w:cs="黑体" w:hint="eastAsia"/>
          <w:sz w:val="30"/>
        </w:rPr>
        <w:lastRenderedPageBreak/>
        <w:t>转化阶段，要求研究生根据研究问题和收集的数据，把对“问题”的研究转化为论文、研究项目和毕业论文。</w:t>
      </w:r>
    </w:p>
    <w:p w14:paraId="36A0FCC1" w14:textId="77777777" w:rsidR="00F605EB" w:rsidRDefault="00E43777">
      <w:pPr>
        <w:pStyle w:val="ad"/>
        <w:widowControl/>
        <w:spacing w:beforeAutospacing="0" w:afterAutospacing="0" w:line="580" w:lineRule="exact"/>
        <w:ind w:firstLineChars="200" w:firstLine="602"/>
        <w:rPr>
          <w:rStyle w:val="NormalCharacter"/>
          <w:rFonts w:ascii="仿宋_GB2312" w:eastAsia="仿宋_GB2312" w:hAnsi="黑体" w:cs="黑体"/>
          <w:b/>
          <w:sz w:val="30"/>
        </w:rPr>
      </w:pPr>
      <w:r>
        <w:rPr>
          <w:rStyle w:val="NormalCharacter"/>
          <w:rFonts w:ascii="仿宋_GB2312" w:eastAsia="仿宋_GB2312" w:hAnsi="黑体" w:cs="黑体" w:hint="eastAsia"/>
          <w:b/>
          <w:sz w:val="30"/>
        </w:rPr>
        <w:t>（二）教师队伍建设</w:t>
      </w:r>
    </w:p>
    <w:p w14:paraId="590D50C1" w14:textId="77777777" w:rsidR="00F605EB" w:rsidRDefault="00E43777">
      <w:pPr>
        <w:pStyle w:val="ad"/>
        <w:widowControl/>
        <w:spacing w:beforeAutospacing="0" w:afterAutospacing="0" w:line="580" w:lineRule="exact"/>
        <w:ind w:firstLineChars="200" w:firstLine="600"/>
        <w:rPr>
          <w:rStyle w:val="NormalCharacter"/>
          <w:rFonts w:ascii="仿宋_GB2312" w:eastAsia="仿宋_GB2312" w:hAnsi="黑体" w:cs="黑体"/>
          <w:sz w:val="30"/>
        </w:rPr>
      </w:pPr>
      <w:r>
        <w:rPr>
          <w:rStyle w:val="NormalCharacter"/>
          <w:rFonts w:ascii="仿宋_GB2312" w:eastAsia="仿宋_GB2312" w:hAnsi="黑体" w:cs="黑体" w:hint="eastAsia"/>
          <w:sz w:val="30"/>
        </w:rPr>
        <w:t>1.以“双导师”、“三导师”要求为标准，完善硕士生导师队伍。定期选聘教育领域专家、一线教师作为兼职导师，参与研究生培养全过程；基于教育硕士（职业技术教育领域）“三导师”建设要求，定期选聘中职学校教师、行业专家作为兼职导师，参与职教专硕培养全过程。</w:t>
      </w:r>
    </w:p>
    <w:p w14:paraId="6EDFD161" w14:textId="77777777" w:rsidR="00F605EB" w:rsidRDefault="00E43777">
      <w:pPr>
        <w:widowControl/>
        <w:spacing w:line="580" w:lineRule="exact"/>
        <w:ind w:firstLineChars="200" w:firstLine="600"/>
        <w:rPr>
          <w:rStyle w:val="NormalCharacter"/>
          <w:rFonts w:ascii="仿宋_GB2312" w:eastAsia="仿宋_GB2312" w:hAnsi="黑体" w:cs="黑体"/>
          <w:sz w:val="30"/>
        </w:rPr>
      </w:pPr>
      <w:r>
        <w:rPr>
          <w:rStyle w:val="NormalCharacter"/>
          <w:rFonts w:ascii="仿宋_GB2312" w:eastAsia="仿宋_GB2312" w:hAnsi="黑体" w:cs="黑体" w:hint="eastAsia"/>
          <w:sz w:val="30"/>
        </w:rPr>
        <w:t>2.组织开展多样化的导师培训，例如教学技能专项培训（多媒体课件制作、网络课程制作）、定期开展专题讲座、研讨交流会和经验交流会等教研活动。以校内导师队伍发展规划为根基，转变校内导师思想观念，使之根据教育硕士的培养模式进行区分性指导。</w:t>
      </w:r>
    </w:p>
    <w:p w14:paraId="1B706B34" w14:textId="77777777" w:rsidR="00F605EB" w:rsidRDefault="00E43777">
      <w:pPr>
        <w:widowControl/>
        <w:spacing w:line="580" w:lineRule="exact"/>
        <w:ind w:firstLineChars="200" w:firstLine="600"/>
        <w:rPr>
          <w:rStyle w:val="NormalCharacter"/>
          <w:rFonts w:ascii="仿宋_GB2312" w:eastAsia="仿宋_GB2312" w:hAnsi="黑体" w:cs="黑体"/>
          <w:sz w:val="30"/>
        </w:rPr>
      </w:pPr>
      <w:r>
        <w:rPr>
          <w:rStyle w:val="NormalCharacter"/>
          <w:rFonts w:ascii="仿宋_GB2312" w:eastAsia="仿宋_GB2312" w:hAnsi="黑体" w:cs="黑体" w:hint="eastAsia"/>
          <w:sz w:val="30"/>
        </w:rPr>
        <w:t>3.明确教育硕士导师职责。各配培养单位根据研究生院的相关管理制度组建并完善校外导师队伍，明确了校内外导师的职责要求、履职情况、指导效果、奖惩措施等，使导师成为循证实践者、学习环境营造者和课程设计者，并促进双导师制度系统化，比如，创建了与各个专业相关的实践教学基地，聘请了本学科领域内、具备较厚的理论基础和丰富的实践经验的专家作为指导教师。</w:t>
      </w:r>
    </w:p>
    <w:p w14:paraId="42CD7232" w14:textId="77777777" w:rsidR="00F605EB" w:rsidRDefault="00E43777">
      <w:pPr>
        <w:pStyle w:val="ad"/>
        <w:widowControl/>
        <w:spacing w:beforeAutospacing="0" w:afterAutospacing="0" w:line="580" w:lineRule="exact"/>
        <w:ind w:firstLineChars="200" w:firstLine="602"/>
        <w:rPr>
          <w:rStyle w:val="NormalCharacter"/>
          <w:rFonts w:ascii="仿宋_GB2312" w:eastAsia="仿宋_GB2312" w:hAnsi="黑体" w:cs="黑体"/>
          <w:b/>
          <w:sz w:val="30"/>
        </w:rPr>
      </w:pPr>
      <w:r>
        <w:rPr>
          <w:rStyle w:val="NormalCharacter"/>
          <w:rFonts w:ascii="仿宋_GB2312" w:eastAsia="仿宋_GB2312" w:hAnsi="黑体" w:cs="黑体" w:hint="eastAsia"/>
          <w:b/>
          <w:sz w:val="30"/>
        </w:rPr>
        <w:t>（三）科学研究</w:t>
      </w:r>
    </w:p>
    <w:p w14:paraId="5EA2CCDE" w14:textId="77777777" w:rsidR="00F605EB" w:rsidRDefault="00E43777">
      <w:pPr>
        <w:pStyle w:val="ad"/>
        <w:widowControl/>
        <w:spacing w:beforeAutospacing="0" w:afterAutospacing="0" w:line="580" w:lineRule="exact"/>
        <w:ind w:firstLineChars="200" w:firstLine="600"/>
        <w:rPr>
          <w:rStyle w:val="NormalCharacter"/>
          <w:rFonts w:ascii="仿宋_GB2312" w:eastAsia="仿宋_GB2312" w:hAnsi="黑体" w:cs="黑体"/>
          <w:sz w:val="30"/>
        </w:rPr>
      </w:pPr>
      <w:r>
        <w:rPr>
          <w:rStyle w:val="NormalCharacter"/>
          <w:rFonts w:ascii="仿宋_GB2312" w:eastAsia="仿宋_GB2312" w:hAnsi="黑体" w:cs="黑体" w:hint="eastAsia"/>
          <w:sz w:val="30"/>
        </w:rPr>
        <w:t>教育</w:t>
      </w:r>
      <w:r>
        <w:rPr>
          <w:rStyle w:val="NormalCharacter"/>
          <w:rFonts w:ascii="仿宋_GB2312" w:eastAsia="仿宋_GB2312" w:hAnsi="黑体" w:cs="黑体"/>
          <w:sz w:val="30"/>
        </w:rPr>
        <w:t>学科是我校博士点建设学科。在</w:t>
      </w:r>
      <w:r>
        <w:rPr>
          <w:rStyle w:val="NormalCharacter"/>
          <w:rFonts w:ascii="仿宋_GB2312" w:eastAsia="仿宋_GB2312" w:hAnsi="黑体" w:cs="黑体" w:hint="eastAsia"/>
          <w:sz w:val="30"/>
        </w:rPr>
        <w:t>中国校友会 2019 学科排名中本学科进入前 27%。学科带头人受聘为上海职教教师学院专家委员会委员；本学位点学者参与的2项研究报告得到省委主</w:t>
      </w:r>
      <w:r>
        <w:rPr>
          <w:rStyle w:val="NormalCharacter"/>
          <w:rFonts w:ascii="仿宋_GB2312" w:eastAsia="仿宋_GB2312" w:hAnsi="黑体" w:cs="黑体" w:hint="eastAsia"/>
          <w:sz w:val="30"/>
        </w:rPr>
        <w:lastRenderedPageBreak/>
        <w:t>要领导的指示，1项研究报告被《智库成果专报》采用；学者团队受省教育评价院委托，承担省职业教育重大政策专项1项，并参与省“双高”计划项目验收； 3名学者应江西电视台邀请就职业高考、校企融合、家校合作等重大政策进行解读。学科学者在全国职教领域的话语权、影响力在不断扩大。以教育学院为例，组织申报各类课题67项，其中，国家社科基金4项，全国教育科学规划3项，教育部人文社科项目3项，省社科基金项目15项，省艺术规划项目5项，省教育科学规划21项，省高校人文13项，教育厅科技项目3项。截至目前共计立项28项，其中教育部人文1项，省社科3项，省教育科学规划14项，省高校人文9项，省艺术科学规划1项，到账纵向经费58.25万，横向经费超过150万，出版专著、教材5部，完成各类项目结题15项，获江西省优秀社科成果奖6项，省教育规划优秀成果奖7项；举办线上线下等学术报告10场；发表各类论文47篇，其中C刊14篇，北大核心11篇。</w:t>
      </w:r>
    </w:p>
    <w:p w14:paraId="269A3F49" w14:textId="77777777" w:rsidR="00F605EB" w:rsidRDefault="00E43777">
      <w:pPr>
        <w:pStyle w:val="ad"/>
        <w:widowControl/>
        <w:spacing w:beforeAutospacing="0" w:afterAutospacing="0" w:line="580" w:lineRule="exact"/>
        <w:ind w:firstLineChars="200" w:firstLine="602"/>
        <w:rPr>
          <w:rStyle w:val="NormalCharacter"/>
          <w:rFonts w:ascii="仿宋_GB2312" w:eastAsia="仿宋_GB2312" w:hAnsi="黑体" w:cs="黑体"/>
          <w:b/>
          <w:sz w:val="30"/>
        </w:rPr>
      </w:pPr>
      <w:r>
        <w:rPr>
          <w:rStyle w:val="NormalCharacter"/>
          <w:rFonts w:ascii="仿宋_GB2312" w:eastAsia="仿宋_GB2312" w:hAnsi="黑体" w:cs="黑体" w:hint="eastAsia"/>
          <w:b/>
          <w:sz w:val="30"/>
        </w:rPr>
        <w:t>（四）</w:t>
      </w:r>
      <w:r>
        <w:rPr>
          <w:rStyle w:val="NormalCharacter"/>
          <w:rFonts w:ascii="仿宋_GB2312" w:eastAsia="仿宋_GB2312" w:hAnsi="黑体" w:cs="黑体"/>
          <w:b/>
          <w:sz w:val="30"/>
        </w:rPr>
        <w:t>传承创新优秀文化</w:t>
      </w:r>
    </w:p>
    <w:p w14:paraId="067A96CF" w14:textId="77777777" w:rsidR="00F605EB" w:rsidRDefault="00E43777">
      <w:pPr>
        <w:pStyle w:val="ad"/>
        <w:widowControl/>
        <w:spacing w:beforeAutospacing="0" w:afterAutospacing="0" w:line="580" w:lineRule="exact"/>
        <w:ind w:firstLineChars="200" w:firstLine="600"/>
        <w:rPr>
          <w:rStyle w:val="NormalCharacter"/>
          <w:rFonts w:ascii="仿宋_GB2312" w:eastAsia="仿宋_GB2312" w:hAnsi="黑体" w:cs="黑体"/>
          <w:sz w:val="30"/>
        </w:rPr>
      </w:pPr>
      <w:r>
        <w:rPr>
          <w:rStyle w:val="NormalCharacter"/>
          <w:rFonts w:ascii="仿宋_GB2312" w:eastAsia="仿宋_GB2312" w:hAnsi="黑体" w:cs="黑体"/>
          <w:sz w:val="30"/>
        </w:rPr>
        <w:t>本</w:t>
      </w:r>
      <w:r>
        <w:rPr>
          <w:rStyle w:val="NormalCharacter"/>
          <w:rFonts w:ascii="仿宋_GB2312" w:eastAsia="仿宋_GB2312" w:hAnsi="黑体" w:cs="黑体" w:hint="eastAsia"/>
          <w:sz w:val="30"/>
        </w:rPr>
        <w:t>学位点</w:t>
      </w:r>
      <w:r>
        <w:rPr>
          <w:rStyle w:val="NormalCharacter"/>
          <w:rFonts w:ascii="仿宋_GB2312" w:eastAsia="仿宋_GB2312" w:hAnsi="黑体" w:cs="黑体"/>
          <w:sz w:val="30"/>
        </w:rPr>
        <w:t>始终践行积极创新的发展理念，在研究生的培养过程中，坚持正确方向，培养党和国家事业发展急需的德才兼备、又红又专的高层次创新人才；坚持内涵发展，面向学术前沿完善学科布局，面向需求优化专业结构，加大</w:t>
      </w:r>
      <w:r>
        <w:rPr>
          <w:rStyle w:val="NormalCharacter"/>
          <w:rFonts w:ascii="仿宋_GB2312" w:eastAsia="仿宋_GB2312" w:hAnsi="黑体" w:cs="黑体" w:hint="eastAsia"/>
          <w:sz w:val="30"/>
        </w:rPr>
        <w:t>教育学</w:t>
      </w:r>
      <w:r>
        <w:rPr>
          <w:rStyle w:val="NormalCharacter"/>
          <w:rFonts w:ascii="仿宋_GB2312" w:eastAsia="仿宋_GB2312" w:hAnsi="黑体" w:cs="黑体"/>
          <w:sz w:val="30"/>
        </w:rPr>
        <w:t>研究生培养力度；坚持改革创新，突出问题导向和目标导向，提升自主培养高层次创新人才的能力；坚持开放融合，提升研究生教育服务经济社会发展和推进人类命运共同体建设的能力。</w:t>
      </w:r>
    </w:p>
    <w:p w14:paraId="27F83B06" w14:textId="77777777" w:rsidR="00F605EB" w:rsidRDefault="00E43777">
      <w:pPr>
        <w:pStyle w:val="ad"/>
        <w:widowControl/>
        <w:spacing w:beforeAutospacing="0" w:afterAutospacing="0" w:line="580" w:lineRule="exact"/>
        <w:ind w:firstLineChars="200" w:firstLine="602"/>
        <w:rPr>
          <w:rStyle w:val="NormalCharacter"/>
          <w:rFonts w:ascii="仿宋_GB2312" w:eastAsia="仿宋_GB2312" w:hAnsi="黑体" w:cs="黑体"/>
          <w:b/>
          <w:sz w:val="30"/>
        </w:rPr>
      </w:pPr>
      <w:r>
        <w:rPr>
          <w:rStyle w:val="NormalCharacter"/>
          <w:rFonts w:ascii="仿宋_GB2312" w:eastAsia="仿宋_GB2312" w:hAnsi="黑体" w:cs="黑体" w:hint="eastAsia"/>
          <w:b/>
          <w:sz w:val="30"/>
        </w:rPr>
        <w:t>（五）</w:t>
      </w:r>
      <w:r>
        <w:rPr>
          <w:rStyle w:val="NormalCharacter"/>
          <w:rFonts w:ascii="仿宋_GB2312" w:eastAsia="仿宋_GB2312" w:hAnsi="黑体" w:cs="黑体"/>
          <w:b/>
          <w:sz w:val="30"/>
        </w:rPr>
        <w:t>国际合作交流等方面的改革创新情况</w:t>
      </w:r>
    </w:p>
    <w:p w14:paraId="78FD1504" w14:textId="77777777" w:rsidR="00F605EB" w:rsidRDefault="00E43777">
      <w:pPr>
        <w:spacing w:line="580" w:lineRule="exact"/>
        <w:ind w:firstLineChars="200" w:firstLine="600"/>
        <w:rPr>
          <w:rStyle w:val="NormalCharacter"/>
          <w:rFonts w:ascii="仿宋_GB2312" w:eastAsia="仿宋_GB2312" w:hAnsi="黑体" w:cs="黑体"/>
          <w:sz w:val="30"/>
        </w:rPr>
      </w:pPr>
      <w:r>
        <w:rPr>
          <w:rStyle w:val="NormalCharacter"/>
          <w:rFonts w:ascii="仿宋_GB2312" w:eastAsia="仿宋_GB2312" w:hAnsi="黑体" w:cs="黑体" w:hint="eastAsia"/>
          <w:sz w:val="30"/>
        </w:rPr>
        <w:lastRenderedPageBreak/>
        <w:t xml:space="preserve">本学位点依托中摩孔子学院，利用“中非教育交流中心”、“中摩研究中心”国际合作研究平台，通过中非职业教育国际学术论坛等国际学术会议，持续深化中国传统文化和中国职业教育在“一带一路”非洲沿线国家的关注度和影响力；依托全国职教学科点联盟、全国教师教育一流科研平台分中心，通过职教青年博士论坛等平台，打造全国知名职教学术团队，集聚后发优势与潜力办高端国际学术会议，鼓励教师参加国际会议。本学科点先后承办了“中非职业教育线上国际学术论坛”“教育变革与国际化：应用性人才培养的实践探索与前瞻思考”国际学术研讨会，摩洛哥、马达加斯加、喀麦隆、美国、日本、韩国、中国等10多个国家的学者做主题发言，吸引了200多位学者、研究生参加会议，推动了我校教育学科的国际交流。同时，教育学部出台相关激励性政策，鼓励教师积极参加国际学术会议，先后有20名教师参加国际学术会议，有4名教师在国际学术会议做主题发言，在一定程度上提升我校教育学科的国际、国内知名度。                </w:t>
      </w:r>
    </w:p>
    <w:p w14:paraId="201C315E" w14:textId="77777777" w:rsidR="00F605EB" w:rsidRDefault="00E43777">
      <w:pPr>
        <w:widowControl/>
        <w:snapToGrid w:val="0"/>
        <w:spacing w:line="580" w:lineRule="exact"/>
        <w:ind w:firstLineChars="200" w:firstLine="643"/>
        <w:textAlignment w:val="baseline"/>
        <w:rPr>
          <w:rStyle w:val="NormalCharacter"/>
          <w:rFonts w:ascii="黑体" w:eastAsia="黑体" w:hAnsi="黑体" w:cs="黑体"/>
          <w:b/>
          <w:sz w:val="32"/>
          <w:szCs w:val="32"/>
        </w:rPr>
      </w:pPr>
      <w:r>
        <w:rPr>
          <w:rStyle w:val="NormalCharacter"/>
          <w:rFonts w:ascii="黑体" w:eastAsia="黑体" w:hAnsi="黑体" w:cs="黑体" w:hint="eastAsia"/>
          <w:b/>
          <w:sz w:val="32"/>
          <w:szCs w:val="32"/>
        </w:rPr>
        <w:t>五、教育质量评估与分析</w:t>
      </w:r>
    </w:p>
    <w:p w14:paraId="749EA0D0" w14:textId="77777777" w:rsidR="00F605EB" w:rsidRDefault="00E43777">
      <w:pPr>
        <w:spacing w:line="580" w:lineRule="exact"/>
        <w:ind w:firstLineChars="200" w:firstLine="602"/>
        <w:rPr>
          <w:rStyle w:val="NormalCharacter"/>
          <w:rFonts w:ascii="仿宋_GB2312" w:eastAsia="仿宋_GB2312" w:hAnsi="黑体" w:cs="黑体"/>
          <w:b/>
          <w:sz w:val="30"/>
        </w:rPr>
      </w:pPr>
      <w:r>
        <w:rPr>
          <w:rStyle w:val="NormalCharacter"/>
          <w:rFonts w:ascii="仿宋_GB2312" w:eastAsia="仿宋_GB2312" w:hAnsi="黑体" w:cs="黑体" w:hint="eastAsia"/>
          <w:b/>
          <w:sz w:val="30"/>
        </w:rPr>
        <w:t>（一）评估进展分析</w:t>
      </w:r>
    </w:p>
    <w:p w14:paraId="048C3836" w14:textId="77777777" w:rsidR="00F605EB" w:rsidRDefault="00E43777">
      <w:pPr>
        <w:spacing w:line="580" w:lineRule="exact"/>
        <w:ind w:firstLineChars="200" w:firstLine="600"/>
        <w:rPr>
          <w:rStyle w:val="NormalCharacter"/>
          <w:rFonts w:ascii="仿宋_GB2312" w:eastAsia="仿宋_GB2312" w:hAnsi="黑体" w:cs="黑体"/>
          <w:sz w:val="30"/>
        </w:rPr>
      </w:pPr>
      <w:r>
        <w:rPr>
          <w:rStyle w:val="NormalCharacter"/>
          <w:rFonts w:ascii="仿宋_GB2312" w:eastAsia="仿宋_GB2312" w:hAnsi="黑体" w:cs="黑体" w:hint="eastAsia"/>
          <w:sz w:val="30"/>
        </w:rPr>
        <w:t>教育硕士研究生培养工作初步形成了研究生院、教育学部、培养学院三级管理体系。为做好评估工作，根据《国务院学位委员会 教育部关于开展2020-2025年学位授权点周期性合格评估工作的通知》（学位〔2020〕26号）、江西省学位办及学校相关文件精神，结合学位点工作实际，制定了2020-2025年教育硕士专业学位授权点周期性合格评估工作方案，并按照方案扎实推进自我评估工作。</w:t>
      </w:r>
    </w:p>
    <w:p w14:paraId="125531C8" w14:textId="77777777" w:rsidR="00F605EB" w:rsidRDefault="00E43777">
      <w:pPr>
        <w:spacing w:line="580" w:lineRule="exact"/>
        <w:ind w:firstLineChars="200" w:firstLine="602"/>
        <w:rPr>
          <w:rStyle w:val="NormalCharacter"/>
          <w:rFonts w:ascii="仿宋_GB2312" w:eastAsia="仿宋_GB2312" w:hAnsi="黑体" w:cs="黑体"/>
          <w:b/>
          <w:sz w:val="30"/>
        </w:rPr>
      </w:pPr>
      <w:r>
        <w:rPr>
          <w:rStyle w:val="NormalCharacter"/>
          <w:rFonts w:ascii="仿宋_GB2312" w:eastAsia="仿宋_GB2312" w:hAnsi="黑体" w:cs="黑体" w:hint="eastAsia"/>
          <w:b/>
          <w:sz w:val="30"/>
        </w:rPr>
        <w:lastRenderedPageBreak/>
        <w:t>（二）学位论文抽检情况</w:t>
      </w:r>
    </w:p>
    <w:p w14:paraId="6963880A" w14:textId="77777777" w:rsidR="00F605EB" w:rsidRDefault="00E43777">
      <w:pPr>
        <w:spacing w:line="580" w:lineRule="exact"/>
        <w:ind w:firstLineChars="200" w:firstLine="600"/>
        <w:rPr>
          <w:rStyle w:val="NormalCharacter"/>
          <w:rFonts w:ascii="仿宋_GB2312" w:eastAsia="仿宋_GB2312" w:hAnsi="黑体" w:cs="黑体"/>
          <w:sz w:val="30"/>
        </w:rPr>
      </w:pPr>
      <w:r>
        <w:rPr>
          <w:rStyle w:val="NormalCharacter"/>
          <w:rFonts w:ascii="仿宋_GB2312" w:eastAsia="仿宋_GB2312" w:hAnsi="黑体" w:cs="黑体" w:hint="eastAsia"/>
          <w:sz w:val="30"/>
        </w:rPr>
        <w:t>根据2021年4月份开展的2020届职教专硕毕业论文的普查和抽查情况，我校教育硕士学位论文不同程度上存在超出“中等职业学校”范围、越边界、跨类型，以及研究问题存在“虚”“大”“空”等问题。</w:t>
      </w:r>
    </w:p>
    <w:p w14:paraId="2A66E54A" w14:textId="77777777" w:rsidR="00F605EB" w:rsidRDefault="00E43777">
      <w:pPr>
        <w:spacing w:line="580" w:lineRule="exact"/>
        <w:ind w:firstLineChars="200" w:firstLine="602"/>
        <w:rPr>
          <w:rStyle w:val="NormalCharacter"/>
          <w:rFonts w:ascii="仿宋_GB2312" w:eastAsia="仿宋_GB2312" w:hAnsi="黑体" w:cs="黑体"/>
          <w:b/>
          <w:sz w:val="30"/>
        </w:rPr>
      </w:pPr>
      <w:r>
        <w:rPr>
          <w:rStyle w:val="NormalCharacter"/>
          <w:rFonts w:ascii="仿宋_GB2312" w:eastAsia="仿宋_GB2312" w:hAnsi="黑体" w:cs="黑体" w:hint="eastAsia"/>
          <w:b/>
          <w:sz w:val="30"/>
        </w:rPr>
        <w:t>（三）存在问题</w:t>
      </w:r>
    </w:p>
    <w:p w14:paraId="487712D0" w14:textId="77777777" w:rsidR="00F605EB" w:rsidRDefault="00E43777">
      <w:pPr>
        <w:spacing w:line="580" w:lineRule="exact"/>
        <w:ind w:firstLineChars="200" w:firstLine="600"/>
        <w:rPr>
          <w:rStyle w:val="NormalCharacter"/>
          <w:rFonts w:ascii="仿宋_GB2312" w:eastAsia="仿宋_GB2312" w:hAnsi="黑体" w:cs="黑体"/>
          <w:sz w:val="30"/>
        </w:rPr>
      </w:pPr>
      <w:r>
        <w:rPr>
          <w:rStyle w:val="NormalCharacter"/>
          <w:rFonts w:ascii="仿宋_GB2312" w:eastAsia="仿宋_GB2312" w:hAnsi="黑体" w:cs="黑体" w:hint="eastAsia"/>
          <w:sz w:val="30"/>
        </w:rPr>
        <w:t>1.教育硕士培养单位统筹管理尚需加强。为对学校教育资源要素进行整合，充分发挥教育资源优势，学校于2019年12月成立了教育学部，负责教育学学科研究生招生、培养、管理工作，统筹课程与教学论研究生招生、管理及人才培养方案制订等工作，课程与教学论研究生培养由相关学院组织实施。由此，教育硕士研究生培养工作初步形成了研究生院、教育学部、培养学院三级管理体系。然而，在运行过程中，三级体系之间的职责分工不太清晰，没有形成运行顺畅的管理体制机制，缺乏对学生培养各个要素和环节的有效监管。</w:t>
      </w:r>
    </w:p>
    <w:p w14:paraId="1B19819E" w14:textId="77777777" w:rsidR="00F605EB" w:rsidRDefault="00E43777">
      <w:pPr>
        <w:spacing w:line="580" w:lineRule="exact"/>
        <w:ind w:firstLineChars="200" w:firstLine="600"/>
        <w:rPr>
          <w:rStyle w:val="NormalCharacter"/>
          <w:rFonts w:ascii="仿宋_GB2312" w:eastAsia="仿宋_GB2312" w:hAnsi="黑体" w:cs="黑体"/>
          <w:sz w:val="30"/>
        </w:rPr>
      </w:pPr>
      <w:r>
        <w:rPr>
          <w:rStyle w:val="NormalCharacter"/>
          <w:rFonts w:ascii="仿宋_GB2312" w:eastAsia="仿宋_GB2312" w:hAnsi="黑体" w:cs="黑体" w:hint="eastAsia"/>
          <w:sz w:val="30"/>
        </w:rPr>
        <w:t>2.导师队伍建设尚需强化。当前，学校各教育硕士培养单位基本建立了一支符合硕士研究生培养的教师队伍。从我校的校内导师看，他们普遍具有较强的理论功底和科研能力，但大部分缺乏实践一线教师的职业能力和实际工作经验；校外导师方面，由于单位属性的问题，难以对他们进行合理的评价，相关管理制度与规定在具体化、清晰化和可行化方面还不够，缺乏科学合理的聘任考核机制，校外导师职责不够清晰，指导欠佳，难以充分发挥校外教学资源，调动校外导师的工作积极性，发挥其所具有的丰富经验和专业能力以及在实践环节指导的优势；最后，校内校</w:t>
      </w:r>
      <w:r>
        <w:rPr>
          <w:rStyle w:val="NormalCharacter"/>
          <w:rFonts w:ascii="仿宋_GB2312" w:eastAsia="仿宋_GB2312" w:hAnsi="黑体" w:cs="黑体" w:hint="eastAsia"/>
          <w:sz w:val="30"/>
        </w:rPr>
        <w:lastRenderedPageBreak/>
        <w:t>外“双导师”共同指导学习和研究的合作交流机制需要进一步强化。</w:t>
      </w:r>
    </w:p>
    <w:p w14:paraId="3C8E4BE3" w14:textId="77777777" w:rsidR="00F605EB" w:rsidRDefault="00E43777">
      <w:pPr>
        <w:spacing w:line="580" w:lineRule="exact"/>
        <w:ind w:firstLineChars="200" w:firstLine="600"/>
        <w:rPr>
          <w:rStyle w:val="NormalCharacter"/>
          <w:rFonts w:ascii="仿宋_GB2312" w:eastAsia="仿宋_GB2312" w:hAnsi="黑体" w:cs="黑体"/>
          <w:sz w:val="30"/>
        </w:rPr>
      </w:pPr>
      <w:r>
        <w:rPr>
          <w:rStyle w:val="NormalCharacter"/>
          <w:rFonts w:ascii="仿宋_GB2312" w:eastAsia="仿宋_GB2312" w:hAnsi="黑体" w:cs="黑体" w:hint="eastAsia"/>
          <w:sz w:val="30"/>
        </w:rPr>
        <w:t>3.培养单位对教育硕士培养相关文件精神没有吃透，导致对教育硕士培养规定和要求不尽相同，例如实践教学方面整体上对实践教学的具体要求表述较为概括，仅说明了实践教学学时、实践教学学分和实践教学具体时间，对实践教学内容、具体形式、考核方式等还存在表述不清晰的现象；此外，还表现为部分教师在操作过程中沿用学术型的培养目标、教学方式、教学内容，直接表现为对学生毕业论文研究对象、研究内容等把握不准，毕业论文存在超出“中等职业学校”范围、越边界、跨类型，以及研究问题存在“虚”“大”“空”等问题。</w:t>
      </w:r>
    </w:p>
    <w:p w14:paraId="3A0213DD" w14:textId="77777777" w:rsidR="00F605EB" w:rsidRDefault="00E43777">
      <w:pPr>
        <w:spacing w:line="580" w:lineRule="exact"/>
        <w:ind w:firstLineChars="200" w:firstLine="643"/>
        <w:rPr>
          <w:rStyle w:val="NormalCharacter"/>
          <w:rFonts w:ascii="黑体" w:eastAsia="黑体" w:hAnsi="黑体"/>
          <w:b/>
          <w:sz w:val="32"/>
          <w:szCs w:val="32"/>
        </w:rPr>
      </w:pPr>
      <w:r>
        <w:rPr>
          <w:rStyle w:val="NormalCharacter"/>
          <w:rFonts w:ascii="黑体" w:eastAsia="黑体" w:hAnsi="黑体" w:hint="eastAsia"/>
          <w:b/>
          <w:sz w:val="32"/>
          <w:szCs w:val="32"/>
        </w:rPr>
        <w:t>六、改进措施</w:t>
      </w:r>
    </w:p>
    <w:p w14:paraId="7CC0DB4D" w14:textId="77777777" w:rsidR="00F605EB" w:rsidRDefault="00E43777">
      <w:pPr>
        <w:spacing w:line="580" w:lineRule="exact"/>
        <w:ind w:firstLineChars="200" w:firstLine="600"/>
        <w:rPr>
          <w:rStyle w:val="NormalCharacter"/>
          <w:rFonts w:ascii="仿宋_GB2312" w:eastAsia="仿宋_GB2312" w:hAnsi="黑体" w:cs="黑体"/>
          <w:sz w:val="30"/>
        </w:rPr>
      </w:pPr>
      <w:r>
        <w:rPr>
          <w:rStyle w:val="NormalCharacter"/>
          <w:rFonts w:ascii="仿宋_GB2312" w:eastAsia="仿宋_GB2312" w:hAnsi="黑体" w:cs="黑体" w:hint="eastAsia"/>
          <w:sz w:val="30"/>
        </w:rPr>
        <w:t>1.加强对教育硕士相关文件精神的学习。组织学校教育硕士培养单位集中学习教育硕士培养相关文件、政策，充分认识教育硕士的实践性、职业性，全面深入理解实践教学的重要地位，从自身客观问题出发，重新认识教育硕士的培养目标、办学理念，树立培养应用型人才培养观念。在认真解读国家相关文件基础上，修订人才培养方案，充分发挥培养方案在研究生培养方面的引导性作用。</w:t>
      </w:r>
    </w:p>
    <w:p w14:paraId="0DAA06E5" w14:textId="77777777" w:rsidR="00F605EB" w:rsidRDefault="00E43777">
      <w:pPr>
        <w:pStyle w:val="a5"/>
        <w:spacing w:after="0" w:line="580" w:lineRule="exact"/>
        <w:ind w:firstLineChars="200" w:firstLine="600"/>
        <w:rPr>
          <w:rStyle w:val="NormalCharacter"/>
          <w:rFonts w:ascii="仿宋_GB2312" w:eastAsia="仿宋_GB2312" w:hAnsi="黑体" w:cs="黑体"/>
          <w:sz w:val="30"/>
          <w:szCs w:val="24"/>
        </w:rPr>
      </w:pPr>
      <w:r>
        <w:rPr>
          <w:rStyle w:val="NormalCharacter"/>
          <w:rFonts w:ascii="仿宋_GB2312" w:eastAsia="仿宋_GB2312" w:hAnsi="黑体" w:cs="黑体" w:hint="eastAsia"/>
          <w:sz w:val="30"/>
          <w:szCs w:val="24"/>
        </w:rPr>
        <w:t>2.进一步理顺实践教学管理体制。首先，明确研究生院、教育学部、培养学院三级在教育硕士培养中的工作职责，形成运行顺畅的工作机制。其次，加强统筹规划，根据专业建设和人才培养需要，统筹推进教育硕士研究生培养改革与创新，提高人才培养的规范性与有效性，科学性与先进性。最后，实现动态管理，</w:t>
      </w:r>
      <w:r>
        <w:rPr>
          <w:rStyle w:val="NormalCharacter"/>
          <w:rFonts w:ascii="仿宋_GB2312" w:eastAsia="仿宋_GB2312" w:hAnsi="黑体" w:cs="黑体" w:hint="eastAsia"/>
          <w:sz w:val="30"/>
          <w:szCs w:val="24"/>
        </w:rPr>
        <w:lastRenderedPageBreak/>
        <w:t>全过程管理，加强过程监控。</w:t>
      </w:r>
    </w:p>
    <w:p w14:paraId="4ED744A6" w14:textId="77777777" w:rsidR="00F605EB" w:rsidRDefault="00E43777">
      <w:pPr>
        <w:pStyle w:val="a5"/>
        <w:spacing w:after="0" w:line="580" w:lineRule="exact"/>
        <w:ind w:firstLineChars="200" w:firstLine="600"/>
        <w:rPr>
          <w:rStyle w:val="NormalCharacter"/>
          <w:rFonts w:ascii="仿宋_GB2312" w:eastAsia="仿宋_GB2312" w:hAnsi="黑体" w:cs="黑体"/>
          <w:sz w:val="30"/>
          <w:szCs w:val="24"/>
        </w:rPr>
      </w:pPr>
      <w:r>
        <w:rPr>
          <w:rStyle w:val="NormalCharacter"/>
          <w:rFonts w:ascii="仿宋_GB2312" w:eastAsia="仿宋_GB2312" w:hAnsi="黑体" w:cs="黑体" w:hint="eastAsia"/>
          <w:sz w:val="30"/>
          <w:szCs w:val="24"/>
        </w:rPr>
        <w:t>3.制订科学、可行的教育硕士导师规划，合理加强“双导师”队伍建设。根据学科发展的需要，制订科学、可行的教育硕士导师发展规划，合理建设</w:t>
      </w:r>
      <w:r w:rsidRPr="008D2C63">
        <w:rPr>
          <w:rStyle w:val="NormalCharacter"/>
          <w:rFonts w:ascii="仿宋_GB2312" w:eastAsia="仿宋_GB2312" w:hAnsi="黑体" w:cs="黑体" w:hint="eastAsia"/>
          <w:sz w:val="30"/>
          <w:szCs w:val="24"/>
        </w:rPr>
        <w:t>教育硕士学科带头人+教授+讲师</w:t>
      </w:r>
      <w:r>
        <w:rPr>
          <w:rStyle w:val="NormalCharacter"/>
          <w:rFonts w:ascii="仿宋_GB2312" w:eastAsia="仿宋_GB2312" w:hAnsi="黑体" w:cs="黑体" w:hint="eastAsia"/>
          <w:sz w:val="30"/>
          <w:szCs w:val="24"/>
        </w:rPr>
        <w:t>导师梯队，不断调整和优化梯队结构；充分利用实践基地的人员优势，建设一支相对稳定的校外实习教师指导队伍，从企事业单位聘请一批有经验的管理者、领导者、业务骨干和精英担任指导老师；另一方面加大校内导师培训力度，聘请本学科领域内具有较厚的理论基础和丰富的实践经验的专家作为指导教师；最后，完善校内外导师管理制度建设，包括职责要求、履职情况、指导效果、奖惩措施等。</w:t>
      </w:r>
    </w:p>
    <w:p w14:paraId="33717CC1" w14:textId="77777777" w:rsidR="00F605EB" w:rsidRDefault="00F605EB">
      <w:pPr>
        <w:pStyle w:val="a5"/>
        <w:spacing w:after="0" w:line="580" w:lineRule="exact"/>
        <w:rPr>
          <w:rStyle w:val="NormalCharacter"/>
          <w:rFonts w:ascii="仿宋_GB2312" w:eastAsia="仿宋_GB2312" w:hAnsi="黑体" w:cs="黑体"/>
          <w:sz w:val="30"/>
          <w:szCs w:val="24"/>
        </w:rPr>
      </w:pPr>
    </w:p>
    <w:p w14:paraId="23CBD9E6" w14:textId="77777777" w:rsidR="00F605EB" w:rsidRDefault="00F605EB">
      <w:pPr>
        <w:spacing w:line="580" w:lineRule="exact"/>
        <w:rPr>
          <w:rStyle w:val="NormalCharacter"/>
          <w:rFonts w:ascii="仿宋_GB2312" w:eastAsia="仿宋_GB2312" w:hAnsi="黑体" w:cs="黑体"/>
          <w:sz w:val="30"/>
        </w:rPr>
      </w:pPr>
    </w:p>
    <w:p w14:paraId="5E73019A" w14:textId="77777777" w:rsidR="00F605EB" w:rsidRDefault="00F605EB">
      <w:pPr>
        <w:pStyle w:val="3"/>
        <w:spacing w:line="580" w:lineRule="exact"/>
        <w:ind w:firstLine="600"/>
        <w:rPr>
          <w:rStyle w:val="NormalCharacter"/>
          <w:rFonts w:ascii="仿宋_GB2312" w:eastAsia="仿宋_GB2312" w:hAnsi="黑体" w:cs="黑体"/>
          <w:color w:val="auto"/>
          <w:sz w:val="30"/>
          <w:szCs w:val="24"/>
        </w:rPr>
      </w:pPr>
    </w:p>
    <w:p w14:paraId="7D1161DC" w14:textId="77777777" w:rsidR="00F605EB" w:rsidRDefault="00F605EB" w:rsidP="00AB07D2">
      <w:pPr>
        <w:spacing w:afterLines="50" w:after="156" w:line="580" w:lineRule="exact"/>
        <w:rPr>
          <w:rStyle w:val="NormalCharacter"/>
          <w:rFonts w:ascii="仿宋_GB2312" w:eastAsia="仿宋_GB2312" w:hAnsi="黑体" w:cs="黑体"/>
          <w:sz w:val="30"/>
        </w:rPr>
      </w:pPr>
    </w:p>
    <w:sectPr w:rsidR="00F605EB" w:rsidSect="00F605EB">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48259" w14:textId="77777777" w:rsidR="009F504F" w:rsidRDefault="009F504F" w:rsidP="00F605EB">
      <w:r>
        <w:separator/>
      </w:r>
    </w:p>
  </w:endnote>
  <w:endnote w:type="continuationSeparator" w:id="0">
    <w:p w14:paraId="4B748E6E" w14:textId="77777777" w:rsidR="009F504F" w:rsidRDefault="009F504F" w:rsidP="00F6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00"/>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altName w:val="黑体"/>
    <w:charset w:val="86"/>
    <w:family w:val="script"/>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6C12" w14:textId="0BD29F64" w:rsidR="00F605EB" w:rsidRDefault="00745247">
    <w:pPr>
      <w:pStyle w:val="a9"/>
      <w:widowControl/>
      <w:jc w:val="center"/>
      <w:textAlignment w:val="baseline"/>
      <w:rPr>
        <w:rStyle w:val="NormalCharacter"/>
        <w:rFonts w:ascii="Times New Roman" w:eastAsia="宋体" w:hAnsi="Times New Roman"/>
        <w:sz w:val="28"/>
        <w:szCs w:val="28"/>
      </w:rPr>
    </w:pPr>
    <w:r>
      <w:rPr>
        <w:noProof/>
      </w:rPr>
      <mc:AlternateContent>
        <mc:Choice Requires="wps">
          <w:drawing>
            <wp:anchor distT="0" distB="0" distL="114300" distR="114300" simplePos="0" relativeHeight="251658240" behindDoc="0" locked="0" layoutInCell="1" allowOverlap="1" wp14:anchorId="2E7F6912" wp14:editId="7A0E25F2">
              <wp:simplePos x="0" y="0"/>
              <wp:positionH relativeFrom="margin">
                <wp:align>center</wp:align>
              </wp:positionH>
              <wp:positionV relativeFrom="paragraph">
                <wp:posOffset>0</wp:posOffset>
              </wp:positionV>
              <wp:extent cx="58420" cy="139700"/>
              <wp:effectExtent l="0" t="0" r="0" b="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txbx>
                      <w:txbxContent>
                        <w:p w14:paraId="68EE9E1F" w14:textId="77777777" w:rsidR="00F605EB" w:rsidRDefault="00AB07D2">
                          <w:pPr>
                            <w:pStyle w:val="a9"/>
                            <w:rPr>
                              <w:rFonts w:eastAsia="宋体"/>
                            </w:rPr>
                          </w:pPr>
                          <w:r>
                            <w:fldChar w:fldCharType="begin"/>
                          </w:r>
                          <w:r w:rsidR="00E43777">
                            <w:instrText xml:space="preserve"> PAGE  \* MERGEFORMAT </w:instrText>
                          </w:r>
                          <w:r>
                            <w:fldChar w:fldCharType="separate"/>
                          </w:r>
                          <w:r w:rsidR="00D26B45">
                            <w:rPr>
                              <w:noProof/>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2E7F6912" id="_x0000_t202" coordsize="21600,21600" o:spt="202" path="m,l,21600r21600,l21600,xe">
              <v:stroke joinstyle="miter"/>
              <v:path gradientshapeok="t" o:connecttype="rect"/>
            </v:shapetype>
            <v:shape id="文本框 15" o:spid="_x0000_s1026" type="#_x0000_t202" style="position:absolute;left:0;text-align:left;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ri/QEAAPcDAAAOAAAAZHJzL2Uyb0RvYy54bWysU02P0zAQvSPxHyzfadouuyxR01XZVRFS&#10;xa5UEGfXsZsI22N53Cbl1zN2kxYBJ8TFefF8v3lePPTWsKMK2IKr+Gwy5Uw5CXXr9hX/+mX95p4z&#10;jMLVwoBTFT8p5A/L168WnS/VHBowtQqMkjgsO1/xJkZfFgXKRlmBE/DKkVFDsCLSb9gXdRAdZbem&#10;mE+nd0UHofYBpEKk26ezkS9zfq2VjM9ao4rMVJx6i/kM+dyls1guRLkPwjetHNoQ/9CFFa2jopdU&#10;TyIKdgjtH6lsKwMg6DiRYAvQupUqz0DTzKa/TbNthFd5FiIH/YUm/H9p5efj1r8EFvsP0NMC8xDo&#10;NyC/I3FTdB7LwSdxiiWSdxq018GmL43AKJC4PV34VH1kki5v79/OySDJMrt5/26a6S6usT5g/KjA&#10;sgQqHmhbub44bjCm6qIcXVIpB+vWmLwx41hX8bub22kOuFgowrih7XOnqefY73oKS3AH9YnGDXBW&#10;Anq5bqn4RmB8EYFWT/2SnOMzHdoAFYEBcdZA+PG3++RPGyErZx1JqeKOtM6Z+eRoU0l1Iwgj2I3A&#10;HewjkDZn9Ey8zJACQjQj1AHsN9L4KtUgk3CSKlU8jvAxnuVMb0Sq1So7kba8iBu39fK609UhEoGZ&#10;1ysTA1ekrkz38BKSfH/9z17X97r8CQAA//8DAFBLAwQUAAYACAAAACEA0jZEfNgAAAACAQAADwAA&#10;AGRycy9kb3ducmV2LnhtbEyPwU7DMBBE70j9B2uRuFGHgFAJcapSEY5IND1wdOMlCdjryHbT8Pcs&#10;XOhlpdGMZt6W69lZMWGIgycFN8sMBFLrzUCdgn1TX69AxKTJaOsJFXxjhHW1uCh1YfyJ3nDapU5w&#10;CcVCK+hTGgspY9uj03HpRyT2PnxwOrEMnTRBn7jcWZln2b10eiBe6PWI2x7br93RKdjWTRMmjMG+&#10;40t9+/n6dIfPs1JXl/PmEUTCOf2H4Ref0aFipoM/konCKuBH0t9l7yEHcVCQ5xnIqpTn6NUPAAAA&#10;//8DAFBLAQItABQABgAIAAAAIQC2gziS/gAAAOEBAAATAAAAAAAAAAAAAAAAAAAAAABbQ29udGVu&#10;dF9UeXBlc10ueG1sUEsBAi0AFAAGAAgAAAAhADj9If/WAAAAlAEAAAsAAAAAAAAAAAAAAAAALwEA&#10;AF9yZWxzLy5yZWxzUEsBAi0AFAAGAAgAAAAhAKu+GuL9AQAA9wMAAA4AAAAAAAAAAAAAAAAALgIA&#10;AGRycy9lMm9Eb2MueG1sUEsBAi0AFAAGAAgAAAAhANI2RHzYAAAAAgEAAA8AAAAAAAAAAAAAAAAA&#10;VwQAAGRycy9kb3ducmV2LnhtbFBLBQYAAAAABAAEAPMAAABcBQAAAAA=&#10;" filled="f" stroked="f" strokeweight=".5pt">
              <v:textbox style="mso-fit-shape-to-text:t" inset="0,0,0,0">
                <w:txbxContent>
                  <w:p w14:paraId="68EE9E1F" w14:textId="77777777" w:rsidR="00F605EB" w:rsidRDefault="00AB07D2">
                    <w:pPr>
                      <w:pStyle w:val="a9"/>
                      <w:rPr>
                        <w:rFonts w:eastAsia="宋体"/>
                      </w:rPr>
                    </w:pPr>
                    <w:r>
                      <w:fldChar w:fldCharType="begin"/>
                    </w:r>
                    <w:r w:rsidR="00E43777">
                      <w:instrText xml:space="preserve"> PAGE  \* MERGEFORMAT </w:instrText>
                    </w:r>
                    <w:r>
                      <w:fldChar w:fldCharType="separate"/>
                    </w:r>
                    <w:r w:rsidR="00D26B45">
                      <w:rPr>
                        <w:noProof/>
                      </w:rP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C7787" w14:textId="77777777" w:rsidR="009F504F" w:rsidRDefault="009F504F" w:rsidP="00F605EB">
      <w:r>
        <w:separator/>
      </w:r>
    </w:p>
  </w:footnote>
  <w:footnote w:type="continuationSeparator" w:id="0">
    <w:p w14:paraId="1E1A1B29" w14:textId="77777777" w:rsidR="009F504F" w:rsidRDefault="009F504F" w:rsidP="00F60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EB"/>
    <w:rsid w:val="000028A1"/>
    <w:rsid w:val="0000504C"/>
    <w:rsid w:val="000145B4"/>
    <w:rsid w:val="00045F43"/>
    <w:rsid w:val="00072396"/>
    <w:rsid w:val="00082791"/>
    <w:rsid w:val="0012158C"/>
    <w:rsid w:val="0013185C"/>
    <w:rsid w:val="00166D03"/>
    <w:rsid w:val="001D0C24"/>
    <w:rsid w:val="001E281B"/>
    <w:rsid w:val="0020560D"/>
    <w:rsid w:val="00223D52"/>
    <w:rsid w:val="002A2A8F"/>
    <w:rsid w:val="002B14F7"/>
    <w:rsid w:val="002E08A1"/>
    <w:rsid w:val="002E2E3D"/>
    <w:rsid w:val="00350B83"/>
    <w:rsid w:val="00374277"/>
    <w:rsid w:val="003B7289"/>
    <w:rsid w:val="00451F04"/>
    <w:rsid w:val="004942DC"/>
    <w:rsid w:val="00497967"/>
    <w:rsid w:val="00507A79"/>
    <w:rsid w:val="005166EE"/>
    <w:rsid w:val="005250B5"/>
    <w:rsid w:val="0058374B"/>
    <w:rsid w:val="006073EB"/>
    <w:rsid w:val="00615817"/>
    <w:rsid w:val="00621274"/>
    <w:rsid w:val="006249D8"/>
    <w:rsid w:val="00643A29"/>
    <w:rsid w:val="0066722B"/>
    <w:rsid w:val="006D2E36"/>
    <w:rsid w:val="00702CF9"/>
    <w:rsid w:val="00745247"/>
    <w:rsid w:val="007702AF"/>
    <w:rsid w:val="007852C0"/>
    <w:rsid w:val="00860848"/>
    <w:rsid w:val="008A0D43"/>
    <w:rsid w:val="008D2C63"/>
    <w:rsid w:val="008F6294"/>
    <w:rsid w:val="00933F0C"/>
    <w:rsid w:val="00935FC3"/>
    <w:rsid w:val="009741CA"/>
    <w:rsid w:val="009D78FD"/>
    <w:rsid w:val="009F504F"/>
    <w:rsid w:val="00A056B2"/>
    <w:rsid w:val="00A349CF"/>
    <w:rsid w:val="00A54693"/>
    <w:rsid w:val="00A6475E"/>
    <w:rsid w:val="00A85170"/>
    <w:rsid w:val="00AB07D2"/>
    <w:rsid w:val="00AC4833"/>
    <w:rsid w:val="00AF4C8C"/>
    <w:rsid w:val="00B736BA"/>
    <w:rsid w:val="00BD577F"/>
    <w:rsid w:val="00BD656E"/>
    <w:rsid w:val="00BE0B55"/>
    <w:rsid w:val="00BF100F"/>
    <w:rsid w:val="00C824E1"/>
    <w:rsid w:val="00CA6AB1"/>
    <w:rsid w:val="00D04E61"/>
    <w:rsid w:val="00D05430"/>
    <w:rsid w:val="00D153EE"/>
    <w:rsid w:val="00D22959"/>
    <w:rsid w:val="00D26B45"/>
    <w:rsid w:val="00D4605D"/>
    <w:rsid w:val="00D55311"/>
    <w:rsid w:val="00D94DEB"/>
    <w:rsid w:val="00DA77BC"/>
    <w:rsid w:val="00E003A7"/>
    <w:rsid w:val="00E43777"/>
    <w:rsid w:val="00E53D40"/>
    <w:rsid w:val="00E84FDC"/>
    <w:rsid w:val="00EB1974"/>
    <w:rsid w:val="00EC37F6"/>
    <w:rsid w:val="00EE1400"/>
    <w:rsid w:val="00EE383F"/>
    <w:rsid w:val="00EF1BE0"/>
    <w:rsid w:val="00EF5C21"/>
    <w:rsid w:val="00F327A7"/>
    <w:rsid w:val="00F4009F"/>
    <w:rsid w:val="00F605EB"/>
    <w:rsid w:val="00F6129F"/>
    <w:rsid w:val="00F6588A"/>
    <w:rsid w:val="00FA076B"/>
    <w:rsid w:val="00FB53DE"/>
    <w:rsid w:val="00FC335F"/>
    <w:rsid w:val="00FE6B78"/>
    <w:rsid w:val="00FF57C5"/>
    <w:rsid w:val="05235D34"/>
    <w:rsid w:val="06A20A39"/>
    <w:rsid w:val="087E6D4B"/>
    <w:rsid w:val="08D12F00"/>
    <w:rsid w:val="0B3049D6"/>
    <w:rsid w:val="0B692FE1"/>
    <w:rsid w:val="0C480258"/>
    <w:rsid w:val="0CD00F0A"/>
    <w:rsid w:val="0EBD0E70"/>
    <w:rsid w:val="0F712BB6"/>
    <w:rsid w:val="102354BF"/>
    <w:rsid w:val="121A010C"/>
    <w:rsid w:val="14EE629B"/>
    <w:rsid w:val="16F83C72"/>
    <w:rsid w:val="1CC25C22"/>
    <w:rsid w:val="1E501745"/>
    <w:rsid w:val="204737CE"/>
    <w:rsid w:val="2157330E"/>
    <w:rsid w:val="27A929FE"/>
    <w:rsid w:val="2C21126A"/>
    <w:rsid w:val="2C752F1C"/>
    <w:rsid w:val="33D83D93"/>
    <w:rsid w:val="38147E3B"/>
    <w:rsid w:val="389D0C80"/>
    <w:rsid w:val="3B857ED9"/>
    <w:rsid w:val="3B9B0C14"/>
    <w:rsid w:val="3D9B21BA"/>
    <w:rsid w:val="3EE83FF7"/>
    <w:rsid w:val="3F40671A"/>
    <w:rsid w:val="3FEE08F8"/>
    <w:rsid w:val="435F543E"/>
    <w:rsid w:val="43673D14"/>
    <w:rsid w:val="43E04937"/>
    <w:rsid w:val="44173ECB"/>
    <w:rsid w:val="44421984"/>
    <w:rsid w:val="44A44BC4"/>
    <w:rsid w:val="44AD2E0D"/>
    <w:rsid w:val="46C035F8"/>
    <w:rsid w:val="4D7D7DB9"/>
    <w:rsid w:val="51BE544C"/>
    <w:rsid w:val="526E1E56"/>
    <w:rsid w:val="5338480E"/>
    <w:rsid w:val="562166FF"/>
    <w:rsid w:val="56E90240"/>
    <w:rsid w:val="57A23368"/>
    <w:rsid w:val="57EF7F46"/>
    <w:rsid w:val="58815E06"/>
    <w:rsid w:val="5EC47139"/>
    <w:rsid w:val="659F2553"/>
    <w:rsid w:val="66EF4E57"/>
    <w:rsid w:val="67A4342A"/>
    <w:rsid w:val="6A215794"/>
    <w:rsid w:val="6AAB5A90"/>
    <w:rsid w:val="6C160F2C"/>
    <w:rsid w:val="6D485437"/>
    <w:rsid w:val="6E995A95"/>
    <w:rsid w:val="7229607F"/>
    <w:rsid w:val="73D25D6E"/>
    <w:rsid w:val="740B40E6"/>
    <w:rsid w:val="75187F78"/>
    <w:rsid w:val="754E378A"/>
    <w:rsid w:val="75D7090C"/>
    <w:rsid w:val="77260526"/>
    <w:rsid w:val="77B72634"/>
    <w:rsid w:val="77F40DE4"/>
    <w:rsid w:val="7AF721A5"/>
    <w:rsid w:val="7BBC67DB"/>
    <w:rsid w:val="7DD37E5E"/>
    <w:rsid w:val="7E637C8C"/>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B8F022"/>
  <w15:docId w15:val="{16419A00-C773-4984-A296-B0B0FA69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F605EB"/>
    <w:pPr>
      <w:widowControl w:val="0"/>
      <w:jc w:val="both"/>
    </w:pPr>
    <w:rPr>
      <w:rFonts w:ascii="Calibri" w:eastAsia="方正仿宋简体" w:hAnsi="Calibri"/>
      <w:kern w:val="2"/>
      <w:sz w:val="32"/>
      <w:szCs w:val="24"/>
    </w:rPr>
  </w:style>
  <w:style w:type="paragraph" w:styleId="1">
    <w:name w:val="heading 1"/>
    <w:basedOn w:val="a"/>
    <w:next w:val="a"/>
    <w:link w:val="10"/>
    <w:uiPriority w:val="99"/>
    <w:qFormat/>
    <w:rsid w:val="00F605EB"/>
    <w:pPr>
      <w:spacing w:beforeAutospacing="1" w:afterAutospacing="1"/>
      <w:jc w:val="left"/>
      <w:outlineLvl w:val="0"/>
    </w:pPr>
    <w:rPr>
      <w:rFonts w:ascii="宋体" w:eastAsia="宋体" w:hAnsi="宋体"/>
      <w:b/>
      <w:kern w:val="44"/>
      <w:sz w:val="48"/>
      <w:szCs w:val="48"/>
    </w:rPr>
  </w:style>
  <w:style w:type="paragraph" w:styleId="3">
    <w:name w:val="heading 3"/>
    <w:basedOn w:val="a"/>
    <w:next w:val="a"/>
    <w:link w:val="30"/>
    <w:uiPriority w:val="99"/>
    <w:qFormat/>
    <w:rsid w:val="00F605EB"/>
    <w:pPr>
      <w:spacing w:line="600" w:lineRule="exact"/>
      <w:ind w:firstLineChars="200" w:firstLine="640"/>
      <w:outlineLvl w:val="2"/>
    </w:pPr>
    <w:rPr>
      <w:rFonts w:ascii="黑体" w:eastAsia="黑体" w:hAnsi="黑体"/>
      <w:color w:val="00000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sid w:val="00F605EB"/>
    <w:rPr>
      <w:sz w:val="20"/>
      <w:szCs w:val="20"/>
    </w:rPr>
  </w:style>
  <w:style w:type="paragraph" w:styleId="a4">
    <w:name w:val="annotation text"/>
    <w:basedOn w:val="a"/>
    <w:uiPriority w:val="99"/>
    <w:semiHidden/>
    <w:unhideWhenUsed/>
    <w:rsid w:val="00F605EB"/>
    <w:pPr>
      <w:jc w:val="left"/>
    </w:pPr>
  </w:style>
  <w:style w:type="paragraph" w:styleId="a5">
    <w:name w:val="Body Text"/>
    <w:basedOn w:val="a"/>
    <w:link w:val="a6"/>
    <w:uiPriority w:val="99"/>
    <w:unhideWhenUsed/>
    <w:qFormat/>
    <w:rsid w:val="00F605EB"/>
    <w:pPr>
      <w:adjustRightInd w:val="0"/>
      <w:snapToGrid w:val="0"/>
      <w:spacing w:after="200" w:line="259" w:lineRule="auto"/>
    </w:pPr>
    <w:rPr>
      <w:rFonts w:ascii="Tahoma" w:eastAsia="仿宋_GB2312" w:hAnsi="Tahoma"/>
      <w:szCs w:val="22"/>
    </w:rPr>
  </w:style>
  <w:style w:type="paragraph" w:styleId="a7">
    <w:name w:val="Balloon Text"/>
    <w:basedOn w:val="a"/>
    <w:link w:val="a8"/>
    <w:uiPriority w:val="99"/>
    <w:semiHidden/>
    <w:unhideWhenUsed/>
    <w:rsid w:val="00F605EB"/>
    <w:rPr>
      <w:sz w:val="18"/>
      <w:szCs w:val="18"/>
    </w:rPr>
  </w:style>
  <w:style w:type="paragraph" w:styleId="a9">
    <w:name w:val="footer"/>
    <w:basedOn w:val="a"/>
    <w:link w:val="aa"/>
    <w:uiPriority w:val="99"/>
    <w:rsid w:val="00F605EB"/>
    <w:pPr>
      <w:tabs>
        <w:tab w:val="center" w:pos="4153"/>
        <w:tab w:val="right" w:pos="8306"/>
      </w:tabs>
      <w:snapToGrid w:val="0"/>
      <w:jc w:val="left"/>
    </w:pPr>
    <w:rPr>
      <w:sz w:val="18"/>
      <w:szCs w:val="18"/>
    </w:rPr>
  </w:style>
  <w:style w:type="paragraph" w:styleId="ab">
    <w:name w:val="header"/>
    <w:basedOn w:val="a"/>
    <w:link w:val="ac"/>
    <w:uiPriority w:val="99"/>
    <w:qFormat/>
    <w:rsid w:val="00F605EB"/>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rsid w:val="00F605EB"/>
    <w:pPr>
      <w:spacing w:beforeAutospacing="1" w:afterAutospacing="1"/>
      <w:jc w:val="left"/>
    </w:pPr>
    <w:rPr>
      <w:kern w:val="0"/>
      <w:sz w:val="24"/>
    </w:rPr>
  </w:style>
  <w:style w:type="character" w:styleId="ae">
    <w:name w:val="Strong"/>
    <w:basedOn w:val="a0"/>
    <w:qFormat/>
    <w:rsid w:val="00F605EB"/>
    <w:rPr>
      <w:rFonts w:cs="Times New Roman"/>
      <w:b/>
    </w:rPr>
  </w:style>
  <w:style w:type="character" w:styleId="af">
    <w:name w:val="page number"/>
    <w:basedOn w:val="a0"/>
    <w:uiPriority w:val="99"/>
    <w:rsid w:val="00F605EB"/>
    <w:rPr>
      <w:rFonts w:cs="Times New Roman"/>
    </w:rPr>
  </w:style>
  <w:style w:type="character" w:styleId="af0">
    <w:name w:val="FollowedHyperlink"/>
    <w:basedOn w:val="a0"/>
    <w:uiPriority w:val="99"/>
    <w:rsid w:val="00F605EB"/>
    <w:rPr>
      <w:rFonts w:cs="Times New Roman"/>
      <w:color w:val="800080"/>
      <w:u w:val="none"/>
    </w:rPr>
  </w:style>
  <w:style w:type="character" w:styleId="af1">
    <w:name w:val="Hyperlink"/>
    <w:basedOn w:val="a0"/>
    <w:uiPriority w:val="99"/>
    <w:qFormat/>
    <w:rsid w:val="00F605EB"/>
    <w:rPr>
      <w:rFonts w:cs="Times New Roman"/>
      <w:color w:val="0000FF"/>
      <w:u w:val="none"/>
    </w:rPr>
  </w:style>
  <w:style w:type="table" w:styleId="af2">
    <w:name w:val="Table Grid"/>
    <w:basedOn w:val="a1"/>
    <w:uiPriority w:val="99"/>
    <w:rsid w:val="00F605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9"/>
    <w:locked/>
    <w:rsid w:val="00F605EB"/>
    <w:rPr>
      <w:rFonts w:ascii="Calibri" w:eastAsia="方正仿宋简体" w:hAnsi="Calibri" w:cs="Times New Roman"/>
      <w:b/>
      <w:bCs/>
      <w:kern w:val="44"/>
      <w:sz w:val="44"/>
      <w:szCs w:val="44"/>
    </w:rPr>
  </w:style>
  <w:style w:type="character" w:customStyle="1" w:styleId="30">
    <w:name w:val="标题 3 字符"/>
    <w:basedOn w:val="a0"/>
    <w:link w:val="3"/>
    <w:uiPriority w:val="99"/>
    <w:semiHidden/>
    <w:locked/>
    <w:rsid w:val="00F605EB"/>
    <w:rPr>
      <w:rFonts w:ascii="Calibri" w:eastAsia="方正仿宋简体" w:hAnsi="Calibri" w:cs="Times New Roman"/>
      <w:b/>
      <w:bCs/>
      <w:sz w:val="32"/>
      <w:szCs w:val="32"/>
    </w:rPr>
  </w:style>
  <w:style w:type="character" w:customStyle="1" w:styleId="aa">
    <w:name w:val="页脚 字符"/>
    <w:basedOn w:val="a0"/>
    <w:link w:val="a9"/>
    <w:uiPriority w:val="99"/>
    <w:semiHidden/>
    <w:locked/>
    <w:rsid w:val="00F605EB"/>
    <w:rPr>
      <w:rFonts w:ascii="Calibri" w:eastAsia="方正仿宋简体" w:hAnsi="Calibri" w:cs="Times New Roman"/>
      <w:sz w:val="18"/>
      <w:szCs w:val="18"/>
    </w:rPr>
  </w:style>
  <w:style w:type="character" w:customStyle="1" w:styleId="ac">
    <w:name w:val="页眉 字符"/>
    <w:basedOn w:val="a0"/>
    <w:link w:val="ab"/>
    <w:uiPriority w:val="99"/>
    <w:semiHidden/>
    <w:locked/>
    <w:rsid w:val="00F605EB"/>
    <w:rPr>
      <w:rFonts w:ascii="Calibri" w:eastAsia="方正仿宋简体" w:hAnsi="Calibri" w:cs="Times New Roman"/>
      <w:sz w:val="18"/>
      <w:szCs w:val="18"/>
    </w:rPr>
  </w:style>
  <w:style w:type="character" w:customStyle="1" w:styleId="hover21">
    <w:name w:val="hover21"/>
    <w:basedOn w:val="a0"/>
    <w:uiPriority w:val="99"/>
    <w:rsid w:val="00F605EB"/>
    <w:rPr>
      <w:rFonts w:cs="Times New Roman"/>
      <w:color w:val="557EE7"/>
    </w:rPr>
  </w:style>
  <w:style w:type="paragraph" w:customStyle="1" w:styleId="-11">
    <w:name w:val="彩色列表 - 强调文字颜色 11"/>
    <w:basedOn w:val="a"/>
    <w:uiPriority w:val="99"/>
    <w:qFormat/>
    <w:rsid w:val="00F605EB"/>
    <w:pPr>
      <w:ind w:firstLineChars="200" w:firstLine="420"/>
    </w:pPr>
    <w:rPr>
      <w:rFonts w:ascii="Cambria" w:hAnsi="Cambria"/>
      <w:szCs w:val="22"/>
    </w:rPr>
  </w:style>
  <w:style w:type="character" w:customStyle="1" w:styleId="NormalCharacter">
    <w:name w:val="NormalCharacter"/>
    <w:uiPriority w:val="99"/>
    <w:semiHidden/>
    <w:rsid w:val="00F605EB"/>
    <w:rPr>
      <w:rFonts w:ascii="Calibri" w:eastAsia="方正仿宋简体" w:hAnsi="Calibri"/>
      <w:kern w:val="2"/>
      <w:sz w:val="24"/>
      <w:lang w:val="en-US" w:eastAsia="zh-CN"/>
    </w:rPr>
  </w:style>
  <w:style w:type="paragraph" w:customStyle="1" w:styleId="Heading3">
    <w:name w:val="Heading3"/>
    <w:basedOn w:val="a"/>
    <w:next w:val="a"/>
    <w:uiPriority w:val="99"/>
    <w:rsid w:val="00F605EB"/>
    <w:pPr>
      <w:spacing w:line="600" w:lineRule="exact"/>
      <w:ind w:firstLineChars="200" w:firstLine="640"/>
      <w:textAlignment w:val="baseline"/>
    </w:pPr>
    <w:rPr>
      <w:rFonts w:ascii="黑体" w:eastAsia="黑体" w:hAnsi="黑体"/>
      <w:color w:val="000000"/>
      <w:szCs w:val="32"/>
    </w:rPr>
  </w:style>
  <w:style w:type="character" w:customStyle="1" w:styleId="a8">
    <w:name w:val="批注框文本 字符"/>
    <w:basedOn w:val="a0"/>
    <w:link w:val="a7"/>
    <w:uiPriority w:val="99"/>
    <w:semiHidden/>
    <w:rsid w:val="00F605EB"/>
    <w:rPr>
      <w:rFonts w:ascii="Calibri" w:eastAsia="方正仿宋简体" w:hAnsi="Calibri"/>
      <w:sz w:val="18"/>
      <w:szCs w:val="18"/>
    </w:rPr>
  </w:style>
  <w:style w:type="paragraph" w:customStyle="1" w:styleId="TableParagraph">
    <w:name w:val="Table Paragraph"/>
    <w:basedOn w:val="a"/>
    <w:uiPriority w:val="1"/>
    <w:unhideWhenUsed/>
    <w:qFormat/>
    <w:rsid w:val="00F605EB"/>
    <w:pPr>
      <w:widowControl/>
      <w:jc w:val="left"/>
    </w:pPr>
    <w:rPr>
      <w:rFonts w:ascii="宋体" w:eastAsia="宋体" w:hAnsi="宋体" w:cs="宋体" w:hint="eastAsia"/>
      <w:kern w:val="0"/>
      <w:sz w:val="24"/>
    </w:rPr>
  </w:style>
  <w:style w:type="character" w:customStyle="1" w:styleId="a6">
    <w:name w:val="正文文本 字符"/>
    <w:basedOn w:val="a0"/>
    <w:link w:val="a5"/>
    <w:uiPriority w:val="99"/>
    <w:rsid w:val="00F605EB"/>
    <w:rPr>
      <w:rFonts w:ascii="Tahoma" w:eastAsia="仿宋_GB2312" w:hAnsi="Tahoma"/>
      <w:sz w:val="32"/>
    </w:rPr>
  </w:style>
  <w:style w:type="character" w:styleId="af3">
    <w:name w:val="annotation reference"/>
    <w:basedOn w:val="a0"/>
    <w:uiPriority w:val="99"/>
    <w:semiHidden/>
    <w:unhideWhenUsed/>
    <w:rsid w:val="00F605E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1310</Words>
  <Characters>7467</Characters>
  <Application>Microsoft Office Word</Application>
  <DocSecurity>0</DocSecurity>
  <Lines>62</Lines>
  <Paragraphs>17</Paragraphs>
  <ScaleCrop>false</ScaleCrop>
  <Company>Sky123.Org</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XWB</dc:creator>
  <cp:lastModifiedBy>Shen Guihua</cp:lastModifiedBy>
  <cp:revision>2</cp:revision>
  <cp:lastPrinted>2022-03-04T03:18:00Z</cp:lastPrinted>
  <dcterms:created xsi:type="dcterms:W3CDTF">2022-03-25T05:25:00Z</dcterms:created>
  <dcterms:modified xsi:type="dcterms:W3CDTF">2022-03-25T05:25:00Z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